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7F3D" w14:textId="77777777" w:rsidR="00ED7614" w:rsidRPr="00794A54" w:rsidRDefault="00ED7614" w:rsidP="00ED7614">
      <w:pPr>
        <w:pBdr>
          <w:bottom w:val="single" w:sz="4" w:space="1" w:color="000000"/>
        </w:pBdr>
        <w:suppressAutoHyphens/>
        <w:spacing w:line="100" w:lineRule="atLeast"/>
        <w:contextualSpacing/>
        <w:rPr>
          <w:rFonts w:ascii="Arial Narrow" w:eastAsia="Calibri" w:hAnsi="Arial Narrow" w:cs="Times New Roman"/>
          <w:b/>
          <w:kern w:val="0"/>
          <w:sz w:val="32"/>
          <w:szCs w:val="32"/>
          <w:lang w:eastAsia="ar-SA"/>
          <w14:ligatures w14:val="none"/>
        </w:rPr>
      </w:pPr>
      <w:bookmarkStart w:id="0" w:name="_Hlk135652962"/>
      <w:bookmarkStart w:id="1" w:name="_Hlk185234565"/>
      <w:r w:rsidRPr="00794A54">
        <w:rPr>
          <w:rFonts w:ascii="Arial Narrow" w:eastAsia="Calibri" w:hAnsi="Arial Narrow" w:cs="Times New Roman"/>
          <w:b/>
          <w:kern w:val="0"/>
          <w:sz w:val="44"/>
          <w:szCs w:val="44"/>
          <w:lang w:eastAsia="ar-SA"/>
          <w14:ligatures w14:val="none"/>
        </w:rPr>
        <w:t xml:space="preserve">Öffentliche Bekanntmachung </w:t>
      </w:r>
    </w:p>
    <w:p w14:paraId="0E630667" w14:textId="6906DE79" w:rsidR="00ED7614" w:rsidRPr="00794A54" w:rsidRDefault="00ED7614" w:rsidP="00ED7614">
      <w:pPr>
        <w:pBdr>
          <w:bottom w:val="single" w:sz="4" w:space="1" w:color="000000"/>
        </w:pBdr>
        <w:suppressAutoHyphens/>
        <w:spacing w:line="100" w:lineRule="atLeast"/>
        <w:contextualSpacing/>
        <w:rPr>
          <w:rFonts w:ascii="Calibri" w:eastAsia="Calibri" w:hAnsi="Calibri" w:cs="Times New Roman"/>
          <w:kern w:val="0"/>
          <w:sz w:val="24"/>
          <w:szCs w:val="24"/>
          <w:lang w:eastAsia="ar-SA"/>
          <w14:ligatures w14:val="none"/>
        </w:rPr>
      </w:pPr>
      <w:r w:rsidRPr="00794A54">
        <w:rPr>
          <w:rFonts w:ascii="Arial Narrow" w:eastAsia="Calibri" w:hAnsi="Arial Narrow" w:cs="Times New Roman"/>
          <w:b/>
          <w:kern w:val="0"/>
          <w:sz w:val="32"/>
          <w:szCs w:val="32"/>
          <w:lang w:eastAsia="ar-SA"/>
          <w14:ligatures w14:val="none"/>
        </w:rPr>
        <w:t>der Beschlüsse aus der Stadtratssitzung Nr. 0</w:t>
      </w:r>
      <w:r w:rsidR="00A001B2">
        <w:rPr>
          <w:rFonts w:ascii="Arial Narrow" w:eastAsia="Calibri" w:hAnsi="Arial Narrow" w:cs="Times New Roman"/>
          <w:b/>
          <w:kern w:val="0"/>
          <w:sz w:val="32"/>
          <w:szCs w:val="32"/>
          <w:lang w:eastAsia="ar-SA"/>
          <w14:ligatures w14:val="none"/>
        </w:rPr>
        <w:t>1</w:t>
      </w:r>
      <w:r w:rsidRPr="00794A54">
        <w:rPr>
          <w:rFonts w:ascii="Arial Narrow" w:eastAsia="Calibri" w:hAnsi="Arial Narrow" w:cs="Times New Roman"/>
          <w:b/>
          <w:kern w:val="0"/>
          <w:sz w:val="32"/>
          <w:szCs w:val="32"/>
          <w:lang w:eastAsia="ar-SA"/>
          <w14:ligatures w14:val="none"/>
        </w:rPr>
        <w:t xml:space="preserve"> / 202</w:t>
      </w:r>
      <w:r w:rsidR="00A001B2">
        <w:rPr>
          <w:rFonts w:ascii="Arial Narrow" w:eastAsia="Calibri" w:hAnsi="Arial Narrow" w:cs="Times New Roman"/>
          <w:b/>
          <w:kern w:val="0"/>
          <w:sz w:val="32"/>
          <w:szCs w:val="32"/>
          <w:lang w:eastAsia="ar-SA"/>
          <w14:ligatures w14:val="none"/>
        </w:rPr>
        <w:t>6</w:t>
      </w:r>
      <w:r w:rsidRPr="00794A54">
        <w:rPr>
          <w:rFonts w:ascii="Arial Narrow" w:eastAsia="Calibri" w:hAnsi="Arial Narrow" w:cs="Times New Roman"/>
          <w:b/>
          <w:kern w:val="0"/>
          <w:sz w:val="32"/>
          <w:szCs w:val="32"/>
          <w:lang w:eastAsia="ar-SA"/>
          <w14:ligatures w14:val="none"/>
        </w:rPr>
        <w:t xml:space="preserve"> vom 1</w:t>
      </w:r>
      <w:r w:rsidR="00A001B2">
        <w:rPr>
          <w:rFonts w:ascii="Arial Narrow" w:eastAsia="Calibri" w:hAnsi="Arial Narrow" w:cs="Times New Roman"/>
          <w:b/>
          <w:kern w:val="0"/>
          <w:sz w:val="32"/>
          <w:szCs w:val="32"/>
          <w:lang w:eastAsia="ar-SA"/>
          <w14:ligatures w14:val="none"/>
        </w:rPr>
        <w:t xml:space="preserve">1.02.2026 </w:t>
      </w:r>
      <w:r w:rsidRPr="00794A54">
        <w:rPr>
          <w:rFonts w:ascii="Arial Narrow" w:eastAsia="Calibri" w:hAnsi="Arial Narrow" w:cs="Times New Roman"/>
          <w:b/>
          <w:kern w:val="0"/>
          <w:sz w:val="32"/>
          <w:szCs w:val="32"/>
          <w:lang w:eastAsia="ar-SA"/>
          <w14:ligatures w14:val="none"/>
        </w:rPr>
        <w:t xml:space="preserve">mit Erläuterungen </w:t>
      </w:r>
    </w:p>
    <w:p w14:paraId="07F95C96" w14:textId="77777777" w:rsidR="00ED7614" w:rsidRPr="00794A54" w:rsidRDefault="00ED7614" w:rsidP="00ED7614">
      <w:pPr>
        <w:suppressAutoHyphens/>
        <w:spacing w:line="100" w:lineRule="atLeast"/>
        <w:rPr>
          <w:rFonts w:ascii="Calibri" w:eastAsia="Calibri" w:hAnsi="Calibri" w:cs="Times New Roman"/>
          <w:kern w:val="0"/>
          <w:sz w:val="24"/>
          <w:szCs w:val="24"/>
          <w:lang w:eastAsia="ar-SA"/>
          <w14:ligatures w14:val="none"/>
        </w:rPr>
      </w:pPr>
    </w:p>
    <w:p w14:paraId="79D4BDAB" w14:textId="7B324413" w:rsidR="00A001B2" w:rsidRPr="00197E0E" w:rsidRDefault="00197E0E" w:rsidP="00A001B2">
      <w:pPr>
        <w:spacing w:after="0" w:line="240" w:lineRule="auto"/>
        <w:jc w:val="both"/>
        <w:rPr>
          <w:rFonts w:ascii="Arial Narrow" w:eastAsia="Times New Roman" w:hAnsi="Arial Narrow" w:cs="Times New Roman"/>
          <w:b/>
          <w:iCs/>
          <w:kern w:val="0"/>
          <w:sz w:val="24"/>
          <w:szCs w:val="24"/>
          <w:u w:val="single"/>
          <w:lang w:val="en-US" w:eastAsia="de-DE"/>
          <w14:ligatures w14:val="none"/>
        </w:rPr>
      </w:pPr>
      <w:proofErr w:type="spellStart"/>
      <w:r>
        <w:rPr>
          <w:rFonts w:ascii="Arial Narrow" w:eastAsia="Times New Roman" w:hAnsi="Arial Narrow" w:cs="Times New Roman"/>
          <w:b/>
          <w:iCs/>
          <w:kern w:val="0"/>
          <w:sz w:val="24"/>
          <w:szCs w:val="24"/>
          <w:u w:val="single"/>
          <w:lang w:val="en-US" w:eastAsia="de-DE"/>
          <w14:ligatures w14:val="none"/>
        </w:rPr>
        <w:t>Ablehnung</w:t>
      </w:r>
      <w:proofErr w:type="spellEnd"/>
      <w:r>
        <w:rPr>
          <w:rFonts w:ascii="Arial Narrow" w:eastAsia="Times New Roman" w:hAnsi="Arial Narrow" w:cs="Times New Roman"/>
          <w:b/>
          <w:iCs/>
          <w:kern w:val="0"/>
          <w:sz w:val="24"/>
          <w:szCs w:val="24"/>
          <w:u w:val="single"/>
          <w:lang w:val="en-US" w:eastAsia="de-DE"/>
          <w14:ligatures w14:val="none"/>
        </w:rPr>
        <w:t xml:space="preserve"> von </w:t>
      </w:r>
      <w:proofErr w:type="spellStart"/>
      <w:r w:rsidR="00A001B2" w:rsidRPr="00197E0E">
        <w:rPr>
          <w:rFonts w:ascii="Arial Narrow" w:eastAsia="Times New Roman" w:hAnsi="Arial Narrow" w:cs="Times New Roman"/>
          <w:b/>
          <w:iCs/>
          <w:kern w:val="0"/>
          <w:sz w:val="24"/>
          <w:szCs w:val="24"/>
          <w:u w:val="single"/>
          <w:lang w:val="en-US" w:eastAsia="de-DE"/>
          <w14:ligatures w14:val="none"/>
        </w:rPr>
        <w:t>Beschluss</w:t>
      </w:r>
      <w:proofErr w:type="spellEnd"/>
      <w:r w:rsidR="00A001B2" w:rsidRPr="00197E0E">
        <w:rPr>
          <w:rFonts w:ascii="Arial Narrow" w:eastAsia="Times New Roman" w:hAnsi="Arial Narrow" w:cs="Times New Roman"/>
          <w:b/>
          <w:iCs/>
          <w:kern w:val="0"/>
          <w:sz w:val="24"/>
          <w:szCs w:val="24"/>
          <w:u w:val="single"/>
          <w:lang w:val="en-US" w:eastAsia="de-DE"/>
          <w14:ligatures w14:val="none"/>
        </w:rPr>
        <w:t>-Nr.  01 / 01 / 2026</w:t>
      </w:r>
    </w:p>
    <w:p w14:paraId="717D4CB1" w14:textId="77777777" w:rsidR="00A001B2" w:rsidRPr="00A001B2" w:rsidRDefault="00A001B2" w:rsidP="00A001B2">
      <w:pPr>
        <w:spacing w:after="0" w:line="240" w:lineRule="auto"/>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 xml:space="preserve">Der Stadtrat möge beschließen, das Rathaus und die gemeindeeigenen Schulen, soweit geeignete Fahnenmasten vorhanden sind, ergänzend zu den bestehenden Richtlinien des sogenannten Beflaggungserlasses (VwV Beflaggung vom 18. September 2013, </w:t>
      </w:r>
      <w:proofErr w:type="spellStart"/>
      <w:r w:rsidRPr="00A001B2">
        <w:rPr>
          <w:rFonts w:ascii="Arial Narrow" w:eastAsia="Times New Roman" w:hAnsi="Arial Narrow" w:cs="Times New Roman"/>
          <w:bCs/>
          <w:iCs/>
          <w:kern w:val="0"/>
          <w:sz w:val="24"/>
          <w:szCs w:val="24"/>
          <w:lang w:eastAsia="de-DE"/>
          <w14:ligatures w14:val="none"/>
        </w:rPr>
        <w:t>SächsABl</w:t>
      </w:r>
      <w:proofErr w:type="spellEnd"/>
      <w:r w:rsidRPr="00A001B2">
        <w:rPr>
          <w:rFonts w:ascii="Arial Narrow" w:eastAsia="Times New Roman" w:hAnsi="Arial Narrow" w:cs="Times New Roman"/>
          <w:bCs/>
          <w:iCs/>
          <w:kern w:val="0"/>
          <w:sz w:val="24"/>
          <w:szCs w:val="24"/>
          <w:lang w:eastAsia="de-DE"/>
          <w14:ligatures w14:val="none"/>
        </w:rPr>
        <w:t xml:space="preserve">. S. 979, zuletzt enthalten in der Verwaltungsvorschrift vom 30. Dezember 2023, </w:t>
      </w:r>
      <w:proofErr w:type="spellStart"/>
      <w:r w:rsidRPr="00A001B2">
        <w:rPr>
          <w:rFonts w:ascii="Arial Narrow" w:eastAsia="Times New Roman" w:hAnsi="Arial Narrow" w:cs="Times New Roman"/>
          <w:bCs/>
          <w:iCs/>
          <w:kern w:val="0"/>
          <w:sz w:val="24"/>
          <w:szCs w:val="24"/>
          <w:lang w:eastAsia="de-DE"/>
          <w14:ligatures w14:val="none"/>
        </w:rPr>
        <w:t>SächsABl</w:t>
      </w:r>
      <w:proofErr w:type="spellEnd"/>
      <w:r w:rsidRPr="00A001B2">
        <w:rPr>
          <w:rFonts w:ascii="Arial Narrow" w:eastAsia="Times New Roman" w:hAnsi="Arial Narrow" w:cs="Times New Roman"/>
          <w:bCs/>
          <w:iCs/>
          <w:kern w:val="0"/>
          <w:sz w:val="24"/>
          <w:szCs w:val="24"/>
          <w:lang w:eastAsia="de-DE"/>
          <w14:ligatures w14:val="none"/>
        </w:rPr>
        <w:t xml:space="preserve">. </w:t>
      </w:r>
      <w:proofErr w:type="spellStart"/>
      <w:r w:rsidRPr="00A001B2">
        <w:rPr>
          <w:rFonts w:ascii="Arial Narrow" w:eastAsia="Times New Roman" w:hAnsi="Arial Narrow" w:cs="Times New Roman"/>
          <w:bCs/>
          <w:iCs/>
          <w:kern w:val="0"/>
          <w:sz w:val="24"/>
          <w:szCs w:val="24"/>
          <w:lang w:eastAsia="de-DE"/>
          <w14:ligatures w14:val="none"/>
        </w:rPr>
        <w:t>SDr</w:t>
      </w:r>
      <w:proofErr w:type="spellEnd"/>
      <w:r w:rsidRPr="00A001B2">
        <w:rPr>
          <w:rFonts w:ascii="Arial Narrow" w:eastAsia="Times New Roman" w:hAnsi="Arial Narrow" w:cs="Times New Roman"/>
          <w:bCs/>
          <w:iCs/>
          <w:kern w:val="0"/>
          <w:sz w:val="24"/>
          <w:szCs w:val="24"/>
          <w:lang w:eastAsia="de-DE"/>
          <w14:ligatures w14:val="none"/>
        </w:rPr>
        <w:t>. S. S 241), ganzjährig mit der Nationalflagge der Bundesrepublik Deutschland, der Landesflagge des Freistaates Sachsen und der Flagge der Sorben zu beflaggen.</w:t>
      </w:r>
    </w:p>
    <w:p w14:paraId="307E97B5" w14:textId="77777777" w:rsidR="00ED7614" w:rsidRPr="00794A54" w:rsidRDefault="00ED7614" w:rsidP="00ED7614">
      <w:pPr>
        <w:suppressAutoHyphens/>
        <w:spacing w:line="100" w:lineRule="atLeast"/>
        <w:contextualSpacing/>
        <w:jc w:val="both"/>
        <w:rPr>
          <w:rFonts w:ascii="Arial Narrow" w:eastAsia="Calibri" w:hAnsi="Arial Narrow" w:cs="Times New Roman"/>
          <w:i/>
          <w:u w:val="single"/>
          <w:lang w:eastAsia="ar-SA"/>
        </w:rPr>
      </w:pPr>
    </w:p>
    <w:p w14:paraId="038EBA39" w14:textId="77777777" w:rsidR="00ED7614" w:rsidRPr="0050693E" w:rsidRDefault="00ED7614" w:rsidP="00ED7614">
      <w:pPr>
        <w:suppressAutoHyphens/>
        <w:spacing w:line="100" w:lineRule="atLeast"/>
        <w:contextualSpacing/>
        <w:jc w:val="both"/>
        <w:rPr>
          <w:rFonts w:ascii="Arial Narrow" w:eastAsia="Calibri" w:hAnsi="Arial Narrow" w:cs="Times New Roman"/>
          <w:i/>
          <w:u w:val="single"/>
          <w:lang w:eastAsia="ar-SA"/>
        </w:rPr>
      </w:pPr>
      <w:r w:rsidRPr="0050693E">
        <w:rPr>
          <w:rFonts w:ascii="Arial Narrow" w:eastAsia="Calibri" w:hAnsi="Arial Narrow" w:cs="Times New Roman"/>
          <w:i/>
          <w:u w:val="single"/>
          <w:lang w:eastAsia="ar-SA"/>
        </w:rPr>
        <w:t>Erläuterungen:</w:t>
      </w:r>
    </w:p>
    <w:p w14:paraId="1BEDBAF1" w14:textId="77777777" w:rsidR="0050693E" w:rsidRPr="00154FD9" w:rsidRDefault="002B2BBD" w:rsidP="00ED7614">
      <w:pPr>
        <w:suppressAutoHyphens/>
        <w:spacing w:line="100" w:lineRule="atLeast"/>
        <w:contextualSpacing/>
        <w:jc w:val="both"/>
        <w:rPr>
          <w:rFonts w:ascii="Arial Narrow" w:eastAsia="Calibri" w:hAnsi="Arial Narrow" w:cs="Times New Roman"/>
          <w:i/>
          <w:lang w:eastAsia="ar-SA"/>
        </w:rPr>
      </w:pPr>
      <w:r w:rsidRPr="0050693E">
        <w:rPr>
          <w:rFonts w:ascii="Arial Narrow" w:eastAsia="Calibri" w:hAnsi="Arial Narrow" w:cs="Times New Roman"/>
          <w:i/>
          <w:lang w:eastAsia="ar-SA"/>
        </w:rPr>
        <w:t xml:space="preserve">Mit Datum vom 25.11.2025 hatten die Stadträte der AfD, Lutz Döhler und Reinhard Tonder, schriftlich beantragt, </w:t>
      </w:r>
      <w:r w:rsidRPr="00154FD9">
        <w:rPr>
          <w:rFonts w:ascii="Arial Narrow" w:eastAsia="Calibri" w:hAnsi="Arial Narrow" w:cs="Times New Roman"/>
          <w:i/>
          <w:lang w:eastAsia="ar-SA"/>
        </w:rPr>
        <w:t xml:space="preserve">dass der Stadtrat über den o.g. Beschlusstext abstimmen sollte. </w:t>
      </w:r>
    </w:p>
    <w:p w14:paraId="47116282" w14:textId="4A878A5C" w:rsidR="003A70DB" w:rsidRPr="00154FD9" w:rsidRDefault="0050693E" w:rsidP="0050693E">
      <w:pPr>
        <w:spacing w:after="0" w:line="240" w:lineRule="auto"/>
        <w:contextualSpacing/>
        <w:jc w:val="both"/>
        <w:rPr>
          <w:rFonts w:ascii="Arial Narrow" w:hAnsi="Arial Narrow" w:cstheme="minorHAnsi"/>
          <w:i/>
          <w:iCs/>
        </w:rPr>
      </w:pPr>
      <w:r w:rsidRPr="00154FD9">
        <w:rPr>
          <w:rFonts w:ascii="Arial Narrow" w:hAnsi="Arial Narrow" w:cstheme="minorHAnsi"/>
          <w:i/>
          <w:iCs/>
        </w:rPr>
        <w:t>Die Beflaggung in der Stadt Wittichenau wurde in der Vergangenheit in Verantwortung des Bürgermeisters</w:t>
      </w:r>
      <w:r w:rsidR="003A70DB" w:rsidRPr="00154FD9">
        <w:rPr>
          <w:rFonts w:ascii="Arial Narrow" w:hAnsi="Arial Narrow" w:cstheme="minorHAnsi"/>
          <w:i/>
          <w:iCs/>
        </w:rPr>
        <w:t xml:space="preserve"> bzw. der Verwaltung an den kommunalen Gebäuden </w:t>
      </w:r>
      <w:r w:rsidRPr="00154FD9">
        <w:rPr>
          <w:rFonts w:ascii="Arial Narrow" w:hAnsi="Arial Narrow" w:cstheme="minorHAnsi"/>
          <w:i/>
          <w:iCs/>
        </w:rPr>
        <w:t xml:space="preserve">und je nach Anlass durchgeführt. Dabei wurden auch ortstypische Feiertage oder Festivitäten berücksichtigt. </w:t>
      </w:r>
    </w:p>
    <w:p w14:paraId="45029927" w14:textId="04302BEA" w:rsidR="0050693E" w:rsidRPr="00154FD9" w:rsidRDefault="0050693E" w:rsidP="0050693E">
      <w:pPr>
        <w:spacing w:after="0" w:line="240" w:lineRule="auto"/>
        <w:contextualSpacing/>
        <w:jc w:val="both"/>
        <w:rPr>
          <w:rFonts w:ascii="Arial Narrow" w:hAnsi="Arial Narrow" w:cstheme="minorHAnsi"/>
          <w:i/>
          <w:iCs/>
        </w:rPr>
      </w:pPr>
      <w:r w:rsidRPr="00154FD9">
        <w:rPr>
          <w:rFonts w:ascii="Arial Narrow" w:hAnsi="Arial Narrow" w:cstheme="minorHAnsi"/>
          <w:i/>
          <w:iCs/>
        </w:rPr>
        <w:t>Alle Fraktionen des Stadtrates – außer der AfD – haben sich in der Stadtratssitzung dafür ausgesprochen, dies auch so beizubehalten.</w:t>
      </w:r>
    </w:p>
    <w:p w14:paraId="3E29DD2D" w14:textId="2613E92B" w:rsidR="002B2BBD" w:rsidRPr="00197E0E" w:rsidRDefault="002B2BBD" w:rsidP="00ED7614">
      <w:pPr>
        <w:suppressAutoHyphens/>
        <w:spacing w:line="100" w:lineRule="atLeast"/>
        <w:contextualSpacing/>
        <w:jc w:val="both"/>
        <w:rPr>
          <w:rFonts w:ascii="Arial Narrow" w:eastAsia="Calibri" w:hAnsi="Arial Narrow" w:cs="Times New Roman"/>
          <w:b/>
          <w:bCs/>
          <w:i/>
          <w:u w:val="single"/>
          <w:lang w:eastAsia="ar-SA"/>
        </w:rPr>
      </w:pPr>
      <w:r w:rsidRPr="00197E0E">
        <w:rPr>
          <w:rFonts w:ascii="Arial Narrow" w:eastAsia="Calibri" w:hAnsi="Arial Narrow" w:cs="Times New Roman"/>
          <w:b/>
          <w:bCs/>
          <w:i/>
          <w:u w:val="single"/>
          <w:lang w:eastAsia="ar-SA"/>
        </w:rPr>
        <w:t>Von 14 anwesenden Mitgliedern des Stadtrates (inklusive Bürgermeister) stimmten 2 mit JA und 12 mit NEIN, so dass der Beschlussvorschlag der AfD mehrheitlich abgelehnt wurde und nicht realisiert wird.</w:t>
      </w:r>
    </w:p>
    <w:p w14:paraId="0150E4E9" w14:textId="77777777" w:rsidR="00ED7614" w:rsidRPr="00794A54" w:rsidRDefault="00ED7614" w:rsidP="00ED7614">
      <w:pPr>
        <w:suppressAutoHyphens/>
        <w:spacing w:line="100" w:lineRule="atLeast"/>
        <w:contextualSpacing/>
        <w:jc w:val="both"/>
        <w:rPr>
          <w:rFonts w:ascii="Arial Narrow" w:eastAsia="Calibri" w:hAnsi="Arial Narrow" w:cs="Times New Roman"/>
          <w:i/>
          <w:color w:val="EE0000"/>
          <w:kern w:val="0"/>
          <w:u w:val="single"/>
          <w:lang w:eastAsia="ar-SA"/>
          <w14:ligatures w14:val="none"/>
        </w:rPr>
      </w:pPr>
    </w:p>
    <w:p w14:paraId="176A66A9" w14:textId="77777777" w:rsidR="00ED7614" w:rsidRPr="00A001B2" w:rsidRDefault="00ED7614" w:rsidP="00ED7614">
      <w:pPr>
        <w:suppressAutoHyphens/>
        <w:spacing w:line="100" w:lineRule="atLeast"/>
        <w:contextualSpacing/>
        <w:jc w:val="both"/>
        <w:rPr>
          <w:rFonts w:ascii="Arial Narrow" w:eastAsia="Calibri" w:hAnsi="Arial Narrow" w:cs="Times New Roman"/>
          <w:iCs/>
          <w:kern w:val="0"/>
          <w:sz w:val="24"/>
          <w:szCs w:val="24"/>
          <w:u w:val="single"/>
          <w:lang w:eastAsia="ar-SA"/>
          <w14:ligatures w14:val="none"/>
        </w:rPr>
      </w:pPr>
    </w:p>
    <w:p w14:paraId="050F2EFE" w14:textId="77777777" w:rsidR="00A001B2" w:rsidRPr="00A001B2" w:rsidRDefault="00A001B2" w:rsidP="00A001B2">
      <w:pPr>
        <w:spacing w:after="0" w:line="240" w:lineRule="auto"/>
        <w:jc w:val="both"/>
        <w:rPr>
          <w:rFonts w:ascii="Arial Narrow" w:eastAsia="Times New Roman" w:hAnsi="Arial Narrow" w:cs="Times New Roman"/>
          <w:b/>
          <w:iCs/>
          <w:kern w:val="0"/>
          <w:sz w:val="24"/>
          <w:szCs w:val="24"/>
          <w:u w:val="single"/>
          <w:lang w:val="en-US" w:eastAsia="de-DE"/>
          <w14:ligatures w14:val="none"/>
        </w:rPr>
      </w:pPr>
      <w:proofErr w:type="spellStart"/>
      <w:r w:rsidRPr="00A001B2">
        <w:rPr>
          <w:rFonts w:ascii="Arial Narrow" w:eastAsia="Times New Roman" w:hAnsi="Arial Narrow" w:cs="Times New Roman"/>
          <w:b/>
          <w:iCs/>
          <w:kern w:val="0"/>
          <w:sz w:val="24"/>
          <w:szCs w:val="24"/>
          <w:u w:val="single"/>
          <w:lang w:val="en-US" w:eastAsia="de-DE"/>
          <w14:ligatures w14:val="none"/>
        </w:rPr>
        <w:t>Beschluss</w:t>
      </w:r>
      <w:proofErr w:type="spellEnd"/>
      <w:r w:rsidRPr="00A001B2">
        <w:rPr>
          <w:rFonts w:ascii="Arial Narrow" w:eastAsia="Times New Roman" w:hAnsi="Arial Narrow" w:cs="Times New Roman"/>
          <w:b/>
          <w:iCs/>
          <w:kern w:val="0"/>
          <w:sz w:val="24"/>
          <w:szCs w:val="24"/>
          <w:u w:val="single"/>
          <w:lang w:val="en-US" w:eastAsia="de-DE"/>
          <w14:ligatures w14:val="none"/>
        </w:rPr>
        <w:t>-Nr.  02 / 01 / 2026</w:t>
      </w:r>
    </w:p>
    <w:p w14:paraId="328A6CDD" w14:textId="77777777" w:rsidR="00A001B2" w:rsidRPr="00A001B2" w:rsidRDefault="00A001B2" w:rsidP="00A001B2">
      <w:pPr>
        <w:tabs>
          <w:tab w:val="left" w:pos="0"/>
        </w:tabs>
        <w:spacing w:after="0" w:line="240" w:lineRule="auto"/>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 xml:space="preserve">Der Stadtrat stimmt der 6. Änderungssatzung zur Hauptsatzung der Stadt Wittichenau vom 29.03.2010 </w:t>
      </w:r>
    </w:p>
    <w:p w14:paraId="037F22AB" w14:textId="77777777" w:rsidR="00A001B2" w:rsidRPr="00A001B2" w:rsidRDefault="00A001B2" w:rsidP="00A001B2">
      <w:pPr>
        <w:tabs>
          <w:tab w:val="left" w:pos="0"/>
        </w:tabs>
        <w:spacing w:after="0" w:line="240" w:lineRule="auto"/>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in der vorliegenden Entwurfsfassung vom 27.01.2026 zu.</w:t>
      </w:r>
    </w:p>
    <w:p w14:paraId="1E7E0B04" w14:textId="77777777" w:rsidR="00ED7614" w:rsidRPr="00794A54" w:rsidRDefault="00ED7614" w:rsidP="00ED7614">
      <w:pPr>
        <w:spacing w:after="0" w:line="240" w:lineRule="auto"/>
        <w:jc w:val="both"/>
        <w:rPr>
          <w:rFonts w:ascii="Arial Narrow" w:eastAsia="Times New Roman" w:hAnsi="Arial Narrow" w:cs="Times New Roman"/>
          <w:i/>
          <w:kern w:val="0"/>
          <w:szCs w:val="24"/>
          <w:u w:val="single"/>
          <w:lang w:eastAsia="de-DE"/>
          <w14:ligatures w14:val="none"/>
        </w:rPr>
      </w:pPr>
    </w:p>
    <w:p w14:paraId="377585BA" w14:textId="77777777" w:rsidR="00A001B2" w:rsidRPr="00154FD9" w:rsidRDefault="00A001B2" w:rsidP="00A001B2">
      <w:pPr>
        <w:suppressAutoHyphens/>
        <w:spacing w:line="100" w:lineRule="atLeast"/>
        <w:contextualSpacing/>
        <w:jc w:val="both"/>
        <w:rPr>
          <w:rFonts w:ascii="Arial Narrow" w:eastAsia="Calibri" w:hAnsi="Arial Narrow" w:cs="Times New Roman"/>
          <w:i/>
          <w:u w:val="single"/>
          <w:lang w:eastAsia="ar-SA"/>
        </w:rPr>
      </w:pPr>
      <w:r w:rsidRPr="00154FD9">
        <w:rPr>
          <w:rFonts w:ascii="Arial Narrow" w:eastAsia="Calibri" w:hAnsi="Arial Narrow" w:cs="Times New Roman"/>
          <w:i/>
          <w:u w:val="single"/>
          <w:lang w:eastAsia="ar-SA"/>
        </w:rPr>
        <w:t>Erläuterungen:</w:t>
      </w:r>
    </w:p>
    <w:p w14:paraId="797C3B4C" w14:textId="64E4EE83" w:rsidR="0050693E" w:rsidRPr="00154FD9" w:rsidRDefault="0050693E" w:rsidP="00B418B8">
      <w:pPr>
        <w:spacing w:after="0" w:line="240" w:lineRule="auto"/>
        <w:contextualSpacing/>
        <w:jc w:val="both"/>
        <w:rPr>
          <w:rFonts w:ascii="Arial Narrow" w:hAnsi="Arial Narrow" w:cstheme="minorHAnsi"/>
          <w:i/>
          <w:iCs/>
        </w:rPr>
      </w:pPr>
      <w:r w:rsidRPr="00154FD9">
        <w:rPr>
          <w:rFonts w:ascii="Arial Narrow" w:hAnsi="Arial Narrow" w:cstheme="minorHAnsi"/>
          <w:i/>
          <w:iCs/>
        </w:rPr>
        <w:t>Unter Bezugnahme auf den vorhergehenden Beschluss teilte der Bürgermeister mit, dass es sich bei der Beflaggung von Dienstgebäuden nicht um ein Geschäft der laufenden Verwaltung handelt. Die Beflaggung von Dienstgebäuden hat wegen ihrer Symbolkraft in der Regel eine kommunalpolitisch herausgehobene Bedeutung</w:t>
      </w:r>
      <w:r w:rsidR="003A70DB" w:rsidRPr="00154FD9">
        <w:rPr>
          <w:rFonts w:ascii="Arial Narrow" w:hAnsi="Arial Narrow" w:cstheme="minorHAnsi"/>
          <w:i/>
          <w:iCs/>
        </w:rPr>
        <w:t>.</w:t>
      </w:r>
      <w:r w:rsidRPr="00154FD9">
        <w:rPr>
          <w:rFonts w:ascii="Arial Narrow" w:hAnsi="Arial Narrow" w:cstheme="minorHAnsi"/>
          <w:i/>
          <w:iCs/>
        </w:rPr>
        <w:t xml:space="preserve">   </w:t>
      </w:r>
    </w:p>
    <w:p w14:paraId="57B7E5CD" w14:textId="4E8C26D8" w:rsidR="00B418B8" w:rsidRPr="009F53DC" w:rsidRDefault="003A70DB" w:rsidP="00B418B8">
      <w:pPr>
        <w:spacing w:after="0" w:line="240" w:lineRule="auto"/>
        <w:contextualSpacing/>
        <w:jc w:val="both"/>
        <w:rPr>
          <w:rFonts w:ascii="Arial Narrow" w:hAnsi="Arial Narrow" w:cstheme="minorHAnsi"/>
          <w:i/>
          <w:iCs/>
        </w:rPr>
      </w:pPr>
      <w:r>
        <w:rPr>
          <w:rFonts w:ascii="Arial Narrow" w:hAnsi="Arial Narrow" w:cstheme="minorHAnsi"/>
          <w:i/>
          <w:iCs/>
        </w:rPr>
        <w:t>Zur Umsetzung dieser Sichtweise und u</w:t>
      </w:r>
      <w:r w:rsidR="00B418B8" w:rsidRPr="0050693E">
        <w:rPr>
          <w:rFonts w:ascii="Arial Narrow" w:hAnsi="Arial Narrow" w:cstheme="minorHAnsi"/>
          <w:i/>
          <w:iCs/>
        </w:rPr>
        <w:t>m die</w:t>
      </w:r>
      <w:r>
        <w:rPr>
          <w:rFonts w:ascii="Arial Narrow" w:hAnsi="Arial Narrow" w:cstheme="minorHAnsi"/>
          <w:i/>
          <w:iCs/>
        </w:rPr>
        <w:t xml:space="preserve"> bisherige </w:t>
      </w:r>
      <w:r w:rsidR="00B418B8" w:rsidRPr="0050693E">
        <w:rPr>
          <w:rFonts w:ascii="Arial Narrow" w:hAnsi="Arial Narrow" w:cstheme="minorHAnsi"/>
          <w:i/>
          <w:iCs/>
        </w:rPr>
        <w:t xml:space="preserve">Verfahrensweise </w:t>
      </w:r>
      <w:r>
        <w:rPr>
          <w:rFonts w:ascii="Arial Narrow" w:hAnsi="Arial Narrow" w:cstheme="minorHAnsi"/>
          <w:i/>
          <w:iCs/>
        </w:rPr>
        <w:t xml:space="preserve">der Beflaggung auch für die Zukunft </w:t>
      </w:r>
      <w:r w:rsidR="00154FD9">
        <w:rPr>
          <w:rFonts w:ascii="Arial Narrow" w:hAnsi="Arial Narrow" w:cstheme="minorHAnsi"/>
          <w:i/>
          <w:iCs/>
        </w:rPr>
        <w:t>r</w:t>
      </w:r>
      <w:r w:rsidR="00B418B8" w:rsidRPr="0050693E">
        <w:rPr>
          <w:rFonts w:ascii="Arial Narrow" w:hAnsi="Arial Narrow" w:cstheme="minorHAnsi"/>
          <w:i/>
          <w:iCs/>
        </w:rPr>
        <w:t xml:space="preserve">echtlich dauerhaft abzusichern, wurde diese Aufgabenübertragung an den Bürgermeister nun in § 9 Abs. 2 der Hauptsatzung aufgenommen. </w:t>
      </w:r>
      <w:r w:rsidR="00B31754" w:rsidRPr="0050693E">
        <w:rPr>
          <w:rFonts w:ascii="Arial Narrow" w:hAnsi="Arial Narrow" w:cstheme="minorHAnsi"/>
          <w:i/>
          <w:iCs/>
        </w:rPr>
        <w:t>Dabei wurde</w:t>
      </w:r>
      <w:r w:rsidR="00B418B8" w:rsidRPr="0050693E">
        <w:rPr>
          <w:rFonts w:ascii="Arial Narrow" w:hAnsi="Arial Narrow" w:cstheme="minorHAnsi"/>
          <w:i/>
          <w:iCs/>
        </w:rPr>
        <w:t xml:space="preserve"> die Beauftragung des Bürgermeisters auch auf d</w:t>
      </w:r>
      <w:r w:rsidR="00B31754" w:rsidRPr="0050693E">
        <w:rPr>
          <w:rFonts w:ascii="Arial Narrow" w:hAnsi="Arial Narrow" w:cstheme="minorHAnsi"/>
          <w:i/>
          <w:iCs/>
        </w:rPr>
        <w:t>ie Auswahl und d</w:t>
      </w:r>
      <w:r w:rsidR="00B418B8" w:rsidRPr="0050693E">
        <w:rPr>
          <w:rFonts w:ascii="Arial Narrow" w:hAnsi="Arial Narrow" w:cstheme="minorHAnsi"/>
          <w:i/>
          <w:iCs/>
        </w:rPr>
        <w:t>as Abspielen von Liedern mit dem Glockenspiel am Rathaus ausgedehnt.</w:t>
      </w:r>
    </w:p>
    <w:p w14:paraId="6D206A64" w14:textId="77777777" w:rsidR="009F53DC" w:rsidRPr="009F53DC" w:rsidRDefault="009F53DC" w:rsidP="00B418B8">
      <w:pPr>
        <w:spacing w:after="0" w:line="240" w:lineRule="auto"/>
        <w:contextualSpacing/>
        <w:jc w:val="both"/>
        <w:rPr>
          <w:rFonts w:ascii="Arial Narrow" w:hAnsi="Arial Narrow" w:cstheme="minorHAnsi"/>
          <w:i/>
          <w:iCs/>
        </w:rPr>
      </w:pPr>
    </w:p>
    <w:p w14:paraId="0AD79238" w14:textId="77777777" w:rsidR="00A001B2" w:rsidRPr="00794A54" w:rsidRDefault="00A001B2" w:rsidP="00ED7614">
      <w:pPr>
        <w:spacing w:after="0" w:line="240" w:lineRule="auto"/>
        <w:jc w:val="both"/>
        <w:rPr>
          <w:rFonts w:ascii="Arial Narrow" w:eastAsia="Times New Roman" w:hAnsi="Arial Narrow" w:cs="Times New Roman"/>
          <w:b/>
          <w:iCs/>
          <w:kern w:val="0"/>
          <w:sz w:val="24"/>
          <w:szCs w:val="24"/>
          <w:u w:val="single"/>
          <w:lang w:eastAsia="de-DE"/>
          <w14:ligatures w14:val="none"/>
        </w:rPr>
      </w:pPr>
    </w:p>
    <w:p w14:paraId="11254545" w14:textId="77777777" w:rsidR="00A001B2" w:rsidRPr="00A001B2" w:rsidRDefault="00A001B2" w:rsidP="00A001B2">
      <w:pPr>
        <w:spacing w:after="0" w:line="240" w:lineRule="auto"/>
        <w:jc w:val="both"/>
        <w:rPr>
          <w:rFonts w:ascii="Arial Narrow" w:eastAsia="Times New Roman" w:hAnsi="Arial Narrow" w:cs="Times New Roman"/>
          <w:b/>
          <w:iCs/>
          <w:kern w:val="0"/>
          <w:sz w:val="24"/>
          <w:szCs w:val="24"/>
          <w:u w:val="single"/>
          <w:lang w:val="en-US" w:eastAsia="de-DE"/>
          <w14:ligatures w14:val="none"/>
        </w:rPr>
      </w:pPr>
      <w:proofErr w:type="spellStart"/>
      <w:r w:rsidRPr="00A001B2">
        <w:rPr>
          <w:rFonts w:ascii="Arial Narrow" w:eastAsia="Times New Roman" w:hAnsi="Arial Narrow" w:cs="Times New Roman"/>
          <w:b/>
          <w:iCs/>
          <w:kern w:val="0"/>
          <w:sz w:val="24"/>
          <w:szCs w:val="24"/>
          <w:u w:val="single"/>
          <w:lang w:val="en-US" w:eastAsia="de-DE"/>
          <w14:ligatures w14:val="none"/>
        </w:rPr>
        <w:t>Beschluss</w:t>
      </w:r>
      <w:proofErr w:type="spellEnd"/>
      <w:r w:rsidRPr="00A001B2">
        <w:rPr>
          <w:rFonts w:ascii="Arial Narrow" w:eastAsia="Times New Roman" w:hAnsi="Arial Narrow" w:cs="Times New Roman"/>
          <w:b/>
          <w:iCs/>
          <w:kern w:val="0"/>
          <w:sz w:val="24"/>
          <w:szCs w:val="24"/>
          <w:u w:val="single"/>
          <w:lang w:val="en-US" w:eastAsia="de-DE"/>
          <w14:ligatures w14:val="none"/>
        </w:rPr>
        <w:t>-Nr.  03 / 01 / 2026</w:t>
      </w:r>
    </w:p>
    <w:p w14:paraId="5DDF2F19" w14:textId="77777777" w:rsidR="00A001B2" w:rsidRPr="00A001B2" w:rsidRDefault="00A001B2" w:rsidP="00B31754">
      <w:pPr>
        <w:tabs>
          <w:tab w:val="left" w:pos="0"/>
        </w:tabs>
        <w:spacing w:after="0" w:line="240" w:lineRule="auto"/>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Der Stadtrat der Stadt Wittichenau beschließt die Fortführung der KRABAT-Grundschule und der Korla-</w:t>
      </w:r>
      <w:proofErr w:type="spellStart"/>
      <w:r w:rsidRPr="00A001B2">
        <w:rPr>
          <w:rFonts w:ascii="Arial Narrow" w:eastAsia="Times New Roman" w:hAnsi="Arial Narrow" w:cs="Times New Roman"/>
          <w:bCs/>
          <w:iCs/>
          <w:kern w:val="0"/>
          <w:sz w:val="24"/>
          <w:szCs w:val="24"/>
          <w:lang w:eastAsia="de-DE"/>
          <w14:ligatures w14:val="none"/>
        </w:rPr>
        <w:t>Awgust</w:t>
      </w:r>
      <w:proofErr w:type="spellEnd"/>
      <w:r w:rsidRPr="00A001B2">
        <w:rPr>
          <w:rFonts w:ascii="Arial Narrow" w:eastAsia="Times New Roman" w:hAnsi="Arial Narrow" w:cs="Times New Roman"/>
          <w:bCs/>
          <w:iCs/>
          <w:kern w:val="0"/>
          <w:sz w:val="24"/>
          <w:szCs w:val="24"/>
          <w:lang w:eastAsia="de-DE"/>
          <w14:ligatures w14:val="none"/>
        </w:rPr>
        <w:t>-</w:t>
      </w:r>
      <w:proofErr w:type="spellStart"/>
      <w:r w:rsidRPr="00A001B2">
        <w:rPr>
          <w:rFonts w:ascii="Arial Narrow" w:eastAsia="Times New Roman" w:hAnsi="Arial Narrow" w:cs="Times New Roman"/>
          <w:bCs/>
          <w:iCs/>
          <w:kern w:val="0"/>
          <w:sz w:val="24"/>
          <w:szCs w:val="24"/>
          <w:lang w:eastAsia="de-DE"/>
          <w14:ligatures w14:val="none"/>
        </w:rPr>
        <w:t>Kocor</w:t>
      </w:r>
      <w:proofErr w:type="spellEnd"/>
      <w:r w:rsidRPr="00A001B2">
        <w:rPr>
          <w:rFonts w:ascii="Arial Narrow" w:eastAsia="Times New Roman" w:hAnsi="Arial Narrow" w:cs="Times New Roman"/>
          <w:bCs/>
          <w:iCs/>
          <w:kern w:val="0"/>
          <w:sz w:val="24"/>
          <w:szCs w:val="24"/>
          <w:lang w:eastAsia="de-DE"/>
          <w14:ligatures w14:val="none"/>
        </w:rPr>
        <w:t>-Oberschule Wittichenau in öffentlicher Trägerschaft und erklärt sein Einvernehmen zu den planerischen Festlegungen des Landkreises Bautzen (Gesamtfortschreibung 2026 – siehe Anlagen).</w:t>
      </w:r>
    </w:p>
    <w:p w14:paraId="6E72E079" w14:textId="77777777" w:rsidR="00ED7614" w:rsidRPr="00794A54" w:rsidRDefault="00ED7614" w:rsidP="00ED7614">
      <w:pPr>
        <w:autoSpaceDE w:val="0"/>
        <w:autoSpaceDN w:val="0"/>
        <w:adjustRightInd w:val="0"/>
        <w:spacing w:after="0" w:line="240" w:lineRule="auto"/>
        <w:jc w:val="both"/>
        <w:rPr>
          <w:rFonts w:ascii="Arial Narrow" w:eastAsia="Times New Roman" w:hAnsi="Arial Narrow" w:cs="Times New Roman"/>
          <w:bCs/>
          <w:i/>
          <w:iCs/>
          <w:color w:val="EE0000"/>
          <w:kern w:val="0"/>
          <w:lang w:eastAsia="de-DE"/>
          <w14:ligatures w14:val="none"/>
        </w:rPr>
      </w:pPr>
    </w:p>
    <w:p w14:paraId="49B771F1" w14:textId="77777777" w:rsidR="00A001B2" w:rsidRPr="00154FD9" w:rsidRDefault="00A001B2" w:rsidP="00A001B2">
      <w:pPr>
        <w:suppressAutoHyphens/>
        <w:spacing w:line="100" w:lineRule="atLeast"/>
        <w:contextualSpacing/>
        <w:jc w:val="both"/>
        <w:rPr>
          <w:rFonts w:ascii="Arial Narrow" w:eastAsia="Calibri" w:hAnsi="Arial Narrow" w:cs="Times New Roman"/>
          <w:i/>
          <w:u w:val="single"/>
          <w:lang w:eastAsia="ar-SA"/>
        </w:rPr>
      </w:pPr>
      <w:r w:rsidRPr="00154FD9">
        <w:rPr>
          <w:rFonts w:ascii="Arial Narrow" w:eastAsia="Calibri" w:hAnsi="Arial Narrow" w:cs="Times New Roman"/>
          <w:i/>
          <w:u w:val="single"/>
          <w:lang w:eastAsia="ar-SA"/>
        </w:rPr>
        <w:t>Erläuterungen:</w:t>
      </w:r>
    </w:p>
    <w:p w14:paraId="1E8A38F0" w14:textId="6FAD572E" w:rsidR="00B418B8" w:rsidRPr="00154FD9" w:rsidRDefault="00B418B8" w:rsidP="00B31754">
      <w:pPr>
        <w:spacing w:after="0" w:line="240" w:lineRule="auto"/>
        <w:contextualSpacing/>
        <w:jc w:val="both"/>
        <w:rPr>
          <w:rFonts w:ascii="Arial Narrow" w:hAnsi="Arial Narrow" w:cstheme="minorHAnsi"/>
          <w:i/>
          <w:iCs/>
        </w:rPr>
      </w:pPr>
      <w:r w:rsidRPr="00154FD9">
        <w:rPr>
          <w:rFonts w:ascii="Arial Narrow" w:hAnsi="Arial Narrow" w:cstheme="minorHAnsi"/>
          <w:i/>
          <w:iCs/>
        </w:rPr>
        <w:t>Die Landkreise sind durch den Gesetzgeber beauftragt, für ihr Zuständigkeitsgebiet eine</w:t>
      </w:r>
      <w:r w:rsidR="00BD24DF" w:rsidRPr="00154FD9">
        <w:rPr>
          <w:rFonts w:ascii="Arial Narrow" w:hAnsi="Arial Narrow" w:cstheme="minorHAnsi"/>
          <w:i/>
          <w:iCs/>
        </w:rPr>
        <w:t>n</w:t>
      </w:r>
      <w:r w:rsidRPr="00154FD9">
        <w:rPr>
          <w:rFonts w:ascii="Arial Narrow" w:hAnsi="Arial Narrow" w:cstheme="minorHAnsi"/>
          <w:i/>
          <w:iCs/>
        </w:rPr>
        <w:t xml:space="preserve"> Schulnetzplan aufzustellen. Dabei </w:t>
      </w:r>
      <w:r w:rsidR="00BD24DF" w:rsidRPr="00154FD9">
        <w:rPr>
          <w:rFonts w:ascii="Arial Narrow" w:hAnsi="Arial Narrow" w:cstheme="minorHAnsi"/>
          <w:i/>
          <w:iCs/>
        </w:rPr>
        <w:t>sind</w:t>
      </w:r>
      <w:r w:rsidRPr="00154FD9">
        <w:rPr>
          <w:rFonts w:ascii="Arial Narrow" w:hAnsi="Arial Narrow" w:cstheme="minorHAnsi"/>
          <w:i/>
          <w:iCs/>
        </w:rPr>
        <w:t xml:space="preserve"> die Festlegungen des Schulgesetzes und des Landesentwicklungsplanes umzusetzen. </w:t>
      </w:r>
    </w:p>
    <w:p w14:paraId="07FE6B1C" w14:textId="15F87ADD" w:rsidR="00B418B8" w:rsidRPr="00154FD9" w:rsidRDefault="00B418B8" w:rsidP="00B31754">
      <w:pPr>
        <w:spacing w:after="0" w:line="240" w:lineRule="auto"/>
        <w:contextualSpacing/>
        <w:jc w:val="both"/>
        <w:rPr>
          <w:rFonts w:ascii="Arial Narrow" w:hAnsi="Arial Narrow" w:cstheme="minorHAnsi"/>
          <w:i/>
          <w:iCs/>
        </w:rPr>
      </w:pPr>
      <w:r w:rsidRPr="00154FD9">
        <w:rPr>
          <w:rFonts w:ascii="Arial Narrow" w:hAnsi="Arial Narrow" w:cstheme="minorHAnsi"/>
          <w:i/>
          <w:iCs/>
        </w:rPr>
        <w:t>D</w:t>
      </w:r>
      <w:r w:rsidR="00BD24DF" w:rsidRPr="00154FD9">
        <w:rPr>
          <w:rFonts w:ascii="Arial Narrow" w:hAnsi="Arial Narrow" w:cstheme="minorHAnsi"/>
          <w:i/>
          <w:iCs/>
        </w:rPr>
        <w:t>er</w:t>
      </w:r>
      <w:r w:rsidRPr="00154FD9">
        <w:rPr>
          <w:rFonts w:ascii="Arial Narrow" w:hAnsi="Arial Narrow" w:cstheme="minorHAnsi"/>
          <w:i/>
          <w:iCs/>
        </w:rPr>
        <w:t xml:space="preserve"> </w:t>
      </w:r>
      <w:r w:rsidR="00BD24DF" w:rsidRPr="00154FD9">
        <w:rPr>
          <w:rFonts w:ascii="Arial Narrow" w:hAnsi="Arial Narrow" w:cstheme="minorHAnsi"/>
          <w:i/>
          <w:iCs/>
        </w:rPr>
        <w:t>S</w:t>
      </w:r>
      <w:r w:rsidRPr="00154FD9">
        <w:rPr>
          <w:rFonts w:ascii="Arial Narrow" w:hAnsi="Arial Narrow" w:cstheme="minorHAnsi"/>
          <w:i/>
          <w:iCs/>
        </w:rPr>
        <w:t xml:space="preserve">chulnetzplan wird </w:t>
      </w:r>
      <w:r w:rsidR="00BD24DF" w:rsidRPr="00154FD9">
        <w:rPr>
          <w:rFonts w:ascii="Arial Narrow" w:hAnsi="Arial Narrow" w:cstheme="minorHAnsi"/>
          <w:i/>
          <w:iCs/>
        </w:rPr>
        <w:t xml:space="preserve">in Teilplänen nach Schularten (z.B. Grundschulen, Oberschulen) </w:t>
      </w:r>
      <w:r w:rsidRPr="00154FD9">
        <w:rPr>
          <w:rFonts w:ascii="Arial Narrow" w:hAnsi="Arial Narrow" w:cstheme="minorHAnsi"/>
          <w:i/>
          <w:iCs/>
        </w:rPr>
        <w:t>nach jeweils fünf Jahren entsprechend der Sächsischen Schulnetzplanungsverordnung fortgeschrieben. Dabei ist er auf seine Vereinbarkeit mit den rechtlichen Grundlagen und tatsächlichen Gegebenheiten zu überprüfen und diesen erforderlichenfalls anzupassen.</w:t>
      </w:r>
    </w:p>
    <w:p w14:paraId="6064645E" w14:textId="44567442" w:rsidR="00B418B8" w:rsidRPr="00154FD9" w:rsidRDefault="00B418B8" w:rsidP="00B31754">
      <w:pPr>
        <w:spacing w:after="0" w:line="240" w:lineRule="auto"/>
        <w:contextualSpacing/>
        <w:jc w:val="both"/>
        <w:rPr>
          <w:rFonts w:ascii="Arial Narrow" w:hAnsi="Arial Narrow" w:cstheme="minorHAnsi"/>
          <w:i/>
          <w:iCs/>
        </w:rPr>
      </w:pPr>
      <w:r w:rsidRPr="00154FD9">
        <w:rPr>
          <w:rFonts w:ascii="Arial Narrow" w:hAnsi="Arial Narrow" w:cstheme="minorHAnsi"/>
          <w:i/>
          <w:iCs/>
        </w:rPr>
        <w:t xml:space="preserve">Mit Datum vom 17.10.2025 wurden die </w:t>
      </w:r>
      <w:r w:rsidR="00BD24DF" w:rsidRPr="00154FD9">
        <w:rPr>
          <w:rFonts w:ascii="Arial Narrow" w:hAnsi="Arial Narrow" w:cstheme="minorHAnsi"/>
          <w:i/>
          <w:iCs/>
        </w:rPr>
        <w:t>aktuellen Planungsu</w:t>
      </w:r>
      <w:r w:rsidRPr="00154FD9">
        <w:rPr>
          <w:rFonts w:ascii="Arial Narrow" w:hAnsi="Arial Narrow" w:cstheme="minorHAnsi"/>
          <w:i/>
          <w:iCs/>
        </w:rPr>
        <w:t xml:space="preserve">nterlagen durch das Landratsamt Bautzen an die Stadt Wittichenau übersandt, mit der Bitte </w:t>
      </w:r>
      <w:r w:rsidR="00E37FB5" w:rsidRPr="00154FD9">
        <w:rPr>
          <w:rFonts w:ascii="Arial Narrow" w:hAnsi="Arial Narrow" w:cstheme="minorHAnsi"/>
          <w:i/>
          <w:iCs/>
        </w:rPr>
        <w:t>um</w:t>
      </w:r>
      <w:r w:rsidRPr="00154FD9">
        <w:rPr>
          <w:rFonts w:ascii="Arial Narrow" w:hAnsi="Arial Narrow" w:cstheme="minorHAnsi"/>
          <w:i/>
          <w:iCs/>
        </w:rPr>
        <w:t xml:space="preserve"> Herstellung des Einvernehmens bis zum 27.02.2026.</w:t>
      </w:r>
    </w:p>
    <w:p w14:paraId="5D722331" w14:textId="7D7A963C" w:rsidR="00B418B8" w:rsidRPr="00B418B8" w:rsidRDefault="00B31754" w:rsidP="00B31754">
      <w:pPr>
        <w:spacing w:after="0" w:line="240" w:lineRule="auto"/>
        <w:contextualSpacing/>
        <w:jc w:val="both"/>
        <w:rPr>
          <w:rFonts w:ascii="Arial Narrow" w:hAnsi="Arial Narrow" w:cstheme="minorHAnsi"/>
          <w:i/>
          <w:iCs/>
        </w:rPr>
      </w:pPr>
      <w:r w:rsidRPr="00154FD9">
        <w:rPr>
          <w:rFonts w:ascii="Arial Narrow" w:hAnsi="Arial Narrow" w:cstheme="minorHAnsi"/>
          <w:i/>
          <w:iCs/>
        </w:rPr>
        <w:t>Da in der G</w:t>
      </w:r>
      <w:r w:rsidR="00B418B8" w:rsidRPr="00154FD9">
        <w:rPr>
          <w:rFonts w:ascii="Arial Narrow" w:hAnsi="Arial Narrow" w:cstheme="minorHAnsi"/>
          <w:i/>
          <w:iCs/>
        </w:rPr>
        <w:t xml:space="preserve">esamtfortschreibung 2026 </w:t>
      </w:r>
      <w:r w:rsidRPr="00154FD9">
        <w:rPr>
          <w:rFonts w:ascii="Arial Narrow" w:hAnsi="Arial Narrow" w:cstheme="minorHAnsi"/>
          <w:i/>
          <w:iCs/>
        </w:rPr>
        <w:t xml:space="preserve">der Schulnetzplanung des Landkreises der </w:t>
      </w:r>
      <w:r w:rsidR="00BD24DF" w:rsidRPr="00154FD9">
        <w:rPr>
          <w:rFonts w:ascii="Arial Narrow" w:hAnsi="Arial Narrow" w:cstheme="minorHAnsi"/>
          <w:i/>
          <w:iCs/>
        </w:rPr>
        <w:t>B</w:t>
      </w:r>
      <w:r w:rsidRPr="00154FD9">
        <w:rPr>
          <w:rFonts w:ascii="Arial Narrow" w:hAnsi="Arial Narrow" w:cstheme="minorHAnsi"/>
          <w:i/>
          <w:iCs/>
        </w:rPr>
        <w:t xml:space="preserve">estand </w:t>
      </w:r>
      <w:r w:rsidR="00BD24DF" w:rsidRPr="00154FD9">
        <w:rPr>
          <w:rFonts w:ascii="Arial Narrow" w:hAnsi="Arial Narrow" w:cstheme="minorHAnsi"/>
          <w:i/>
          <w:iCs/>
        </w:rPr>
        <w:t>bei</w:t>
      </w:r>
      <w:r w:rsidRPr="00154FD9">
        <w:rPr>
          <w:rFonts w:ascii="Arial Narrow" w:hAnsi="Arial Narrow" w:cstheme="minorHAnsi"/>
          <w:i/>
          <w:iCs/>
        </w:rPr>
        <w:t xml:space="preserve">der </w:t>
      </w:r>
      <w:r w:rsidR="00E37FB5" w:rsidRPr="00154FD9">
        <w:rPr>
          <w:rFonts w:ascii="Arial Narrow" w:hAnsi="Arial Narrow" w:cstheme="minorHAnsi"/>
          <w:i/>
          <w:iCs/>
        </w:rPr>
        <w:t xml:space="preserve">im Beschluss genannter </w:t>
      </w:r>
      <w:r w:rsidRPr="00154FD9">
        <w:rPr>
          <w:rFonts w:ascii="Arial Narrow" w:hAnsi="Arial Narrow" w:cstheme="minorHAnsi"/>
          <w:i/>
          <w:iCs/>
        </w:rPr>
        <w:t xml:space="preserve">Schulen </w:t>
      </w:r>
      <w:r w:rsidR="00BD24DF" w:rsidRPr="00154FD9">
        <w:rPr>
          <w:rFonts w:ascii="Arial Narrow" w:hAnsi="Arial Narrow" w:cstheme="minorHAnsi"/>
          <w:i/>
          <w:iCs/>
        </w:rPr>
        <w:t xml:space="preserve">im Planungshorizont bis 20234/35 </w:t>
      </w:r>
      <w:r w:rsidRPr="00154FD9">
        <w:rPr>
          <w:rFonts w:ascii="Arial Narrow" w:hAnsi="Arial Narrow" w:cstheme="minorHAnsi"/>
          <w:i/>
          <w:iCs/>
        </w:rPr>
        <w:t>als gesichert dargestellt wurde</w:t>
      </w:r>
      <w:r w:rsidR="00BD24DF" w:rsidRPr="00154FD9">
        <w:rPr>
          <w:rFonts w:ascii="Arial Narrow" w:hAnsi="Arial Narrow" w:cstheme="minorHAnsi"/>
          <w:i/>
          <w:iCs/>
        </w:rPr>
        <w:t xml:space="preserve">, konnte der Stadtrat sein Einvernehmen zu dieser Planung </w:t>
      </w:r>
      <w:r w:rsidR="00E37FB5" w:rsidRPr="00154FD9">
        <w:rPr>
          <w:rFonts w:ascii="Arial Narrow" w:hAnsi="Arial Narrow" w:cstheme="minorHAnsi"/>
          <w:i/>
          <w:iCs/>
        </w:rPr>
        <w:t>per Beschluss dokumentieren.</w:t>
      </w:r>
    </w:p>
    <w:p w14:paraId="481A6E3B" w14:textId="77777777" w:rsidR="00ED7614" w:rsidRDefault="00ED7614" w:rsidP="00ED7614">
      <w:pPr>
        <w:suppressAutoHyphens/>
        <w:spacing w:line="100" w:lineRule="atLeast"/>
        <w:contextualSpacing/>
        <w:jc w:val="both"/>
        <w:rPr>
          <w:rFonts w:ascii="Arial Narrow" w:hAnsi="Arial Narrow"/>
          <w:i/>
        </w:rPr>
      </w:pPr>
    </w:p>
    <w:p w14:paraId="5FEB4BCC" w14:textId="77777777" w:rsidR="00A001B2" w:rsidRDefault="00A001B2" w:rsidP="00A001B2">
      <w:pPr>
        <w:spacing w:after="0" w:line="240" w:lineRule="auto"/>
        <w:jc w:val="both"/>
        <w:rPr>
          <w:rFonts w:ascii="Arial Narrow" w:eastAsia="Times New Roman" w:hAnsi="Arial Narrow" w:cs="Times New Roman"/>
          <w:b/>
          <w:iCs/>
          <w:kern w:val="0"/>
          <w:sz w:val="24"/>
          <w:szCs w:val="24"/>
          <w:u w:val="single"/>
          <w:lang w:val="en-US" w:eastAsia="de-DE"/>
          <w14:ligatures w14:val="none"/>
        </w:rPr>
      </w:pPr>
    </w:p>
    <w:p w14:paraId="5570A921" w14:textId="059C801B" w:rsidR="00A001B2" w:rsidRPr="00A001B2" w:rsidRDefault="00A001B2" w:rsidP="00A001B2">
      <w:pPr>
        <w:spacing w:after="0" w:line="240" w:lineRule="auto"/>
        <w:jc w:val="both"/>
        <w:rPr>
          <w:rFonts w:ascii="Arial Narrow" w:eastAsia="Times New Roman" w:hAnsi="Arial Narrow" w:cs="Times New Roman"/>
          <w:b/>
          <w:iCs/>
          <w:kern w:val="0"/>
          <w:sz w:val="24"/>
          <w:szCs w:val="24"/>
          <w:u w:val="single"/>
          <w:lang w:val="en-US" w:eastAsia="de-DE"/>
          <w14:ligatures w14:val="none"/>
        </w:rPr>
      </w:pPr>
      <w:proofErr w:type="spellStart"/>
      <w:r w:rsidRPr="00A001B2">
        <w:rPr>
          <w:rFonts w:ascii="Arial Narrow" w:eastAsia="Times New Roman" w:hAnsi="Arial Narrow" w:cs="Times New Roman"/>
          <w:b/>
          <w:iCs/>
          <w:kern w:val="0"/>
          <w:sz w:val="24"/>
          <w:szCs w:val="24"/>
          <w:u w:val="single"/>
          <w:lang w:val="en-US" w:eastAsia="de-DE"/>
          <w14:ligatures w14:val="none"/>
        </w:rPr>
        <w:t>Beschluss</w:t>
      </w:r>
      <w:proofErr w:type="spellEnd"/>
      <w:r w:rsidRPr="00A001B2">
        <w:rPr>
          <w:rFonts w:ascii="Arial Narrow" w:eastAsia="Times New Roman" w:hAnsi="Arial Narrow" w:cs="Times New Roman"/>
          <w:b/>
          <w:iCs/>
          <w:kern w:val="0"/>
          <w:sz w:val="24"/>
          <w:szCs w:val="24"/>
          <w:u w:val="single"/>
          <w:lang w:val="en-US" w:eastAsia="de-DE"/>
          <w14:ligatures w14:val="none"/>
        </w:rPr>
        <w:t>-Nr.  04 / 01 / 2026</w:t>
      </w:r>
    </w:p>
    <w:p w14:paraId="5E15285C" w14:textId="77777777" w:rsidR="00A001B2" w:rsidRPr="00A001B2" w:rsidRDefault="00A001B2" w:rsidP="00A001B2">
      <w:pPr>
        <w:tabs>
          <w:tab w:val="left" w:pos="284"/>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 xml:space="preserve">Der Jahresabschluss 2018 der Stadt Wittichenau gemäß § 88 Absatz 1 und 2 </w:t>
      </w:r>
      <w:proofErr w:type="spellStart"/>
      <w:r w:rsidRPr="00A001B2">
        <w:rPr>
          <w:rFonts w:ascii="Arial Narrow" w:eastAsia="Times New Roman" w:hAnsi="Arial Narrow" w:cs="Times New Roman"/>
          <w:bCs/>
          <w:iCs/>
          <w:kern w:val="0"/>
          <w:sz w:val="24"/>
          <w:szCs w:val="24"/>
          <w:lang w:eastAsia="de-DE"/>
          <w14:ligatures w14:val="none"/>
        </w:rPr>
        <w:t>SächsGemO</w:t>
      </w:r>
      <w:proofErr w:type="spellEnd"/>
      <w:r w:rsidRPr="00A001B2">
        <w:rPr>
          <w:rFonts w:ascii="Arial Narrow" w:eastAsia="Times New Roman" w:hAnsi="Arial Narrow" w:cs="Times New Roman"/>
          <w:bCs/>
          <w:iCs/>
          <w:kern w:val="0"/>
          <w:sz w:val="24"/>
          <w:szCs w:val="24"/>
          <w:lang w:eastAsia="de-DE"/>
          <w14:ligatures w14:val="none"/>
        </w:rPr>
        <w:t xml:space="preserve"> wird nach der Durchführung der örtlichen Prüfung mit Datum des Prüfberichts vom 16. Dezember 2025 wie folgt festgestellt: </w:t>
      </w:r>
    </w:p>
    <w:p w14:paraId="6CBA354D" w14:textId="77777777" w:rsidR="00A001B2" w:rsidRPr="00A001B2" w:rsidRDefault="00A001B2" w:rsidP="00A001B2">
      <w:pPr>
        <w:tabs>
          <w:tab w:val="left" w:pos="284"/>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3E9BA9AF" w14:textId="77777777" w:rsidR="00A001B2" w:rsidRPr="00A001B2" w:rsidRDefault="00A001B2" w:rsidP="00A001B2">
      <w:pPr>
        <w:numPr>
          <w:ilvl w:val="0"/>
          <w:numId w:val="3"/>
        </w:num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Ergebnisrechnung (Anlage)</w:t>
      </w:r>
    </w:p>
    <w:p w14:paraId="74C968D3" w14:textId="77777777" w:rsidR="00A001B2" w:rsidRPr="00A001B2" w:rsidRDefault="00A001B2" w:rsidP="00A001B2">
      <w:p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6DC76714" w14:textId="77777777" w:rsidR="00A001B2" w:rsidRPr="00A001B2" w:rsidRDefault="00A001B2" w:rsidP="00A001B2">
      <w:pPr>
        <w:tabs>
          <w:tab w:val="left" w:pos="1134"/>
          <w:tab w:val="left" w:pos="1701"/>
          <w:tab w:val="right" w:pos="7655"/>
        </w:tabs>
        <w:spacing w:after="0" w:line="240" w:lineRule="auto"/>
        <w:ind w:right="1134"/>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r>
      <w:bookmarkStart w:id="2" w:name="_Hlk142468758"/>
      <w:r w:rsidRPr="00A001B2">
        <w:rPr>
          <w:rFonts w:ascii="Arial Narrow" w:eastAsia="Times New Roman" w:hAnsi="Arial Narrow" w:cs="Times New Roman"/>
          <w:bCs/>
          <w:iCs/>
          <w:kern w:val="0"/>
          <w:sz w:val="24"/>
          <w:szCs w:val="24"/>
          <w:lang w:eastAsia="de-DE"/>
          <w14:ligatures w14:val="none"/>
        </w:rPr>
        <w:t>Ordentliche Erträge</w:t>
      </w:r>
      <w:r w:rsidRPr="00A001B2">
        <w:rPr>
          <w:rFonts w:ascii="Arial Narrow" w:eastAsia="Times New Roman" w:hAnsi="Arial Narrow" w:cs="Times New Roman"/>
          <w:bCs/>
          <w:iCs/>
          <w:kern w:val="0"/>
          <w:sz w:val="24"/>
          <w:szCs w:val="24"/>
          <w:lang w:eastAsia="de-DE"/>
          <w14:ligatures w14:val="none"/>
        </w:rPr>
        <w:tab/>
        <w:t>9.389.370,34 EUR</w:t>
      </w:r>
    </w:p>
    <w:p w14:paraId="15CA50FF" w14:textId="77777777" w:rsidR="00A001B2" w:rsidRPr="00A001B2" w:rsidRDefault="00A001B2" w:rsidP="00A001B2">
      <w:pPr>
        <w:tabs>
          <w:tab w:val="left" w:pos="1134"/>
          <w:tab w:val="left" w:pos="1701"/>
          <w:tab w:val="right" w:pos="7655"/>
        </w:tabs>
        <w:spacing w:after="0" w:line="240" w:lineRule="auto"/>
        <w:ind w:right="1134"/>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Ordentliche Aufwendungen</w:t>
      </w:r>
      <w:r w:rsidRPr="00A001B2">
        <w:rPr>
          <w:rFonts w:ascii="Arial Narrow" w:eastAsia="Times New Roman" w:hAnsi="Arial Narrow" w:cs="Times New Roman"/>
          <w:bCs/>
          <w:iCs/>
          <w:kern w:val="0"/>
          <w:sz w:val="24"/>
          <w:szCs w:val="24"/>
          <w:lang w:eastAsia="de-DE"/>
          <w14:ligatures w14:val="none"/>
        </w:rPr>
        <w:tab/>
        <w:t>8.672.416,53 EUR</w:t>
      </w:r>
      <w:r w:rsidRPr="00A001B2">
        <w:rPr>
          <w:rFonts w:ascii="Arial Narrow" w:eastAsia="Times New Roman" w:hAnsi="Arial Narrow" w:cs="Times New Roman"/>
          <w:bCs/>
          <w:iCs/>
          <w:kern w:val="0"/>
          <w:sz w:val="24"/>
          <w:szCs w:val="24"/>
          <w:lang w:eastAsia="de-DE"/>
          <w14:ligatures w14:val="none"/>
        </w:rPr>
        <w:tab/>
      </w:r>
    </w:p>
    <w:p w14:paraId="0D91FB51" w14:textId="77777777" w:rsidR="00A001B2" w:rsidRPr="00A001B2" w:rsidRDefault="00A001B2" w:rsidP="00A001B2">
      <w:pPr>
        <w:pBdr>
          <w:top w:val="single" w:sz="4" w:space="0" w:color="auto"/>
          <w:bottom w:val="double" w:sz="4" w:space="1" w:color="auto"/>
        </w:pBdr>
        <w:tabs>
          <w:tab w:val="left" w:pos="1134"/>
          <w:tab w:val="left" w:pos="1701"/>
          <w:tab w:val="right" w:pos="7655"/>
        </w:tabs>
        <w:spacing w:after="0" w:line="240" w:lineRule="auto"/>
        <w:ind w:left="1134" w:right="1134"/>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Ordentliches Ergebnis</w:t>
      </w:r>
      <w:r w:rsidRPr="00A001B2">
        <w:rPr>
          <w:rFonts w:ascii="Arial Narrow" w:eastAsia="Times New Roman" w:hAnsi="Arial Narrow" w:cs="Times New Roman"/>
          <w:bCs/>
          <w:iCs/>
          <w:kern w:val="0"/>
          <w:sz w:val="24"/>
          <w:szCs w:val="24"/>
          <w:lang w:eastAsia="de-DE"/>
          <w14:ligatures w14:val="none"/>
        </w:rPr>
        <w:tab/>
        <w:t>716.953,81 EUR</w:t>
      </w:r>
    </w:p>
    <w:bookmarkEnd w:id="2"/>
    <w:p w14:paraId="3462FA24" w14:textId="77777777" w:rsidR="00A001B2" w:rsidRPr="00A001B2" w:rsidRDefault="00A001B2" w:rsidP="00A001B2">
      <w:pPr>
        <w:tabs>
          <w:tab w:val="left" w:pos="1134"/>
          <w:tab w:val="left" w:pos="1701"/>
          <w:tab w:val="right" w:pos="7655"/>
        </w:tabs>
        <w:spacing w:after="0" w:line="240" w:lineRule="auto"/>
        <w:ind w:right="1134"/>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Außerordentliche Erträge</w:t>
      </w:r>
      <w:r w:rsidRPr="00A001B2">
        <w:rPr>
          <w:rFonts w:ascii="Arial Narrow" w:eastAsia="Times New Roman" w:hAnsi="Arial Narrow" w:cs="Times New Roman"/>
          <w:bCs/>
          <w:iCs/>
          <w:kern w:val="0"/>
          <w:sz w:val="24"/>
          <w:szCs w:val="24"/>
          <w:lang w:eastAsia="de-DE"/>
          <w14:ligatures w14:val="none"/>
        </w:rPr>
        <w:tab/>
        <w:t>207.468,16 EUR</w:t>
      </w:r>
    </w:p>
    <w:p w14:paraId="5422F4E5" w14:textId="77777777" w:rsidR="00A001B2" w:rsidRPr="00A001B2" w:rsidRDefault="00A001B2" w:rsidP="00A001B2">
      <w:pPr>
        <w:tabs>
          <w:tab w:val="left" w:pos="1134"/>
          <w:tab w:val="left" w:pos="1701"/>
          <w:tab w:val="right" w:pos="7655"/>
        </w:tabs>
        <w:spacing w:after="0" w:line="240" w:lineRule="auto"/>
        <w:ind w:right="1134"/>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Außerordentliche Aufwendungen</w:t>
      </w:r>
      <w:r w:rsidRPr="00A001B2">
        <w:rPr>
          <w:rFonts w:ascii="Arial Narrow" w:eastAsia="Times New Roman" w:hAnsi="Arial Narrow" w:cs="Times New Roman"/>
          <w:bCs/>
          <w:iCs/>
          <w:kern w:val="0"/>
          <w:sz w:val="24"/>
          <w:szCs w:val="24"/>
          <w:lang w:eastAsia="de-DE"/>
          <w14:ligatures w14:val="none"/>
        </w:rPr>
        <w:tab/>
        <w:t>266.663,02 EUR</w:t>
      </w:r>
      <w:r w:rsidRPr="00A001B2">
        <w:rPr>
          <w:rFonts w:ascii="Arial Narrow" w:eastAsia="Times New Roman" w:hAnsi="Arial Narrow" w:cs="Times New Roman"/>
          <w:bCs/>
          <w:iCs/>
          <w:kern w:val="0"/>
          <w:sz w:val="24"/>
          <w:szCs w:val="24"/>
          <w:lang w:eastAsia="de-DE"/>
          <w14:ligatures w14:val="none"/>
        </w:rPr>
        <w:tab/>
      </w:r>
    </w:p>
    <w:p w14:paraId="5C19C969" w14:textId="77777777" w:rsidR="00A001B2" w:rsidRPr="00A001B2" w:rsidRDefault="00A001B2" w:rsidP="00A001B2">
      <w:pPr>
        <w:pBdr>
          <w:top w:val="single" w:sz="4" w:space="0" w:color="auto"/>
          <w:bottom w:val="double" w:sz="4" w:space="1" w:color="auto"/>
        </w:pBdr>
        <w:tabs>
          <w:tab w:val="left" w:pos="1134"/>
          <w:tab w:val="left" w:pos="1701"/>
          <w:tab w:val="right" w:pos="7655"/>
        </w:tabs>
        <w:spacing w:after="0" w:line="240" w:lineRule="auto"/>
        <w:ind w:left="1134" w:right="1134"/>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Sonderergebnis</w:t>
      </w:r>
      <w:r w:rsidRPr="00A001B2">
        <w:rPr>
          <w:rFonts w:ascii="Arial Narrow" w:eastAsia="Times New Roman" w:hAnsi="Arial Narrow" w:cs="Times New Roman"/>
          <w:bCs/>
          <w:iCs/>
          <w:kern w:val="0"/>
          <w:sz w:val="24"/>
          <w:szCs w:val="24"/>
          <w:lang w:eastAsia="de-DE"/>
          <w14:ligatures w14:val="none"/>
        </w:rPr>
        <w:tab/>
        <w:t>-59.194,86 EUR</w:t>
      </w:r>
    </w:p>
    <w:p w14:paraId="6450A147" w14:textId="77777777" w:rsidR="00A001B2" w:rsidRPr="00A001B2" w:rsidRDefault="00A001B2" w:rsidP="00A001B2">
      <w:pPr>
        <w:tabs>
          <w:tab w:val="left" w:pos="1134"/>
          <w:tab w:val="left" w:pos="1701"/>
          <w:tab w:val="right" w:pos="7655"/>
        </w:tabs>
        <w:spacing w:after="0" w:line="240" w:lineRule="auto"/>
        <w:ind w:right="1134"/>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Gesamtergebnis</w:t>
      </w:r>
      <w:r w:rsidRPr="00A001B2">
        <w:rPr>
          <w:rFonts w:ascii="Arial Narrow" w:eastAsia="Times New Roman" w:hAnsi="Arial Narrow" w:cs="Times New Roman"/>
          <w:bCs/>
          <w:iCs/>
          <w:kern w:val="0"/>
          <w:sz w:val="24"/>
          <w:szCs w:val="24"/>
          <w:lang w:eastAsia="de-DE"/>
          <w14:ligatures w14:val="none"/>
        </w:rPr>
        <w:tab/>
        <w:t>657.758,95 EUR</w:t>
      </w:r>
    </w:p>
    <w:p w14:paraId="0447FC5C" w14:textId="524E8C84" w:rsidR="00A001B2" w:rsidRPr="00A001B2" w:rsidRDefault="00A001B2" w:rsidP="00A001B2">
      <w:pPr>
        <w:tabs>
          <w:tab w:val="left" w:pos="1134"/>
          <w:tab w:val="left" w:pos="1701"/>
          <w:tab w:val="right" w:pos="7655"/>
        </w:tabs>
        <w:spacing w:after="0" w:line="240" w:lineRule="auto"/>
        <w:ind w:right="1134"/>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w:t>
      </w:r>
    </w:p>
    <w:p w14:paraId="58A9078C" w14:textId="77777777" w:rsidR="00A001B2" w:rsidRPr="00A001B2" w:rsidRDefault="00A001B2" w:rsidP="00A001B2">
      <w:pPr>
        <w:tabs>
          <w:tab w:val="left" w:pos="1134"/>
          <w:tab w:val="left" w:pos="1701"/>
          <w:tab w:val="right" w:pos="7655"/>
        </w:tabs>
        <w:spacing w:after="0" w:line="240" w:lineRule="auto"/>
        <w:ind w:right="1134"/>
        <w:contextualSpacing/>
        <w:jc w:val="both"/>
        <w:rPr>
          <w:rFonts w:ascii="Arial Narrow" w:eastAsia="Times New Roman" w:hAnsi="Arial Narrow" w:cs="Times New Roman"/>
          <w:bCs/>
          <w:iCs/>
          <w:kern w:val="0"/>
          <w:sz w:val="24"/>
          <w:szCs w:val="24"/>
          <w:lang w:eastAsia="de-DE"/>
          <w14:ligatures w14:val="none"/>
        </w:rPr>
      </w:pPr>
    </w:p>
    <w:p w14:paraId="6793738D" w14:textId="77777777" w:rsidR="00A001B2" w:rsidRPr="00A001B2" w:rsidRDefault="00A001B2" w:rsidP="00A001B2">
      <w:pPr>
        <w:numPr>
          <w:ilvl w:val="0"/>
          <w:numId w:val="3"/>
        </w:num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Finanzrechnung (Anlage)</w:t>
      </w:r>
    </w:p>
    <w:p w14:paraId="1EC4E56E" w14:textId="77777777" w:rsidR="00A001B2" w:rsidRPr="00A001B2" w:rsidRDefault="00A001B2" w:rsidP="00A001B2">
      <w:p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02A27472" w14:textId="77777777" w:rsidR="00A001B2" w:rsidRPr="00A001B2" w:rsidRDefault="00A001B2" w:rsidP="00A001B2">
      <w:pPr>
        <w:tabs>
          <w:tab w:val="left" w:pos="1134"/>
          <w:tab w:val="right" w:pos="7655"/>
        </w:tabs>
        <w:spacing w:after="0" w:line="240" w:lineRule="auto"/>
        <w:ind w:left="99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Einzahlungen aus laufender Verwaltungstätigkeit</w:t>
      </w:r>
      <w:r w:rsidRPr="00A001B2">
        <w:rPr>
          <w:rFonts w:ascii="Arial Narrow" w:eastAsia="Times New Roman" w:hAnsi="Arial Narrow" w:cs="Times New Roman"/>
          <w:bCs/>
          <w:iCs/>
          <w:kern w:val="0"/>
          <w:sz w:val="24"/>
          <w:szCs w:val="24"/>
          <w:lang w:eastAsia="de-DE"/>
          <w14:ligatures w14:val="none"/>
        </w:rPr>
        <w:tab/>
        <w:t xml:space="preserve">     8.742.786,62 EUR</w:t>
      </w:r>
    </w:p>
    <w:p w14:paraId="2D59F7D5" w14:textId="77777777" w:rsidR="00A001B2" w:rsidRPr="00A001B2" w:rsidRDefault="00A001B2" w:rsidP="00A001B2">
      <w:pPr>
        <w:tabs>
          <w:tab w:val="left" w:pos="1134"/>
          <w:tab w:val="right" w:pos="7655"/>
        </w:tabs>
        <w:spacing w:after="0" w:line="240" w:lineRule="auto"/>
        <w:ind w:left="99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Auszahlungen aus laufender Verwaltungstätigkeit</w:t>
      </w:r>
      <w:r w:rsidRPr="00A001B2">
        <w:rPr>
          <w:rFonts w:ascii="Arial Narrow" w:eastAsia="Times New Roman" w:hAnsi="Arial Narrow" w:cs="Times New Roman"/>
          <w:bCs/>
          <w:iCs/>
          <w:kern w:val="0"/>
          <w:sz w:val="24"/>
          <w:szCs w:val="24"/>
          <w:lang w:eastAsia="de-DE"/>
          <w14:ligatures w14:val="none"/>
        </w:rPr>
        <w:tab/>
        <w:t xml:space="preserve">    7.364.055,83 EUR</w:t>
      </w:r>
    </w:p>
    <w:p w14:paraId="6F85659E" w14:textId="77777777" w:rsidR="00A001B2" w:rsidRPr="00A001B2" w:rsidRDefault="00A001B2" w:rsidP="00A001B2">
      <w:pPr>
        <w:keepLines/>
        <w:pBdr>
          <w:top w:val="single" w:sz="4" w:space="1" w:color="auto"/>
          <w:bottom w:val="double" w:sz="4" w:space="1" w:color="auto"/>
        </w:pBdr>
        <w:tabs>
          <w:tab w:val="left" w:pos="1134"/>
          <w:tab w:val="right" w:pos="7655"/>
        </w:tabs>
        <w:spacing w:after="0" w:line="240" w:lineRule="auto"/>
        <w:ind w:left="993" w:right="1417"/>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Zahlungsmittelsaldo aus laufender</w:t>
      </w:r>
    </w:p>
    <w:p w14:paraId="6B985AED" w14:textId="77777777" w:rsidR="00A001B2" w:rsidRPr="00A001B2" w:rsidRDefault="00A001B2" w:rsidP="00A001B2">
      <w:pPr>
        <w:pBdr>
          <w:top w:val="single" w:sz="4" w:space="1" w:color="auto"/>
          <w:bottom w:val="double" w:sz="4" w:space="1" w:color="auto"/>
        </w:pBdr>
        <w:tabs>
          <w:tab w:val="left" w:pos="1134"/>
          <w:tab w:val="right" w:pos="7655"/>
        </w:tabs>
        <w:spacing w:after="0" w:line="240" w:lineRule="auto"/>
        <w:ind w:left="993" w:right="1417"/>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 xml:space="preserve">Verwaltungstätigkeit                                                    </w:t>
      </w:r>
      <w:r w:rsidRPr="00A001B2">
        <w:rPr>
          <w:rFonts w:ascii="Arial Narrow" w:eastAsia="Times New Roman" w:hAnsi="Arial Narrow" w:cs="Times New Roman"/>
          <w:bCs/>
          <w:iCs/>
          <w:kern w:val="0"/>
          <w:sz w:val="24"/>
          <w:szCs w:val="24"/>
          <w:lang w:eastAsia="de-DE"/>
          <w14:ligatures w14:val="none"/>
        </w:rPr>
        <w:tab/>
        <w:t xml:space="preserve">   1.378.730,79 EUR</w:t>
      </w:r>
    </w:p>
    <w:p w14:paraId="4EE5321A" w14:textId="77777777" w:rsidR="00A001B2" w:rsidRPr="00A001B2" w:rsidRDefault="00A001B2" w:rsidP="00A001B2">
      <w:pPr>
        <w:tabs>
          <w:tab w:val="left" w:pos="1134"/>
          <w:tab w:val="right" w:pos="7655"/>
        </w:tabs>
        <w:spacing w:after="0" w:line="240" w:lineRule="auto"/>
        <w:ind w:left="1134" w:right="1273"/>
        <w:contextualSpacing/>
        <w:jc w:val="both"/>
        <w:rPr>
          <w:rFonts w:ascii="Arial Narrow" w:eastAsia="Times New Roman" w:hAnsi="Arial Narrow" w:cs="Times New Roman"/>
          <w:bCs/>
          <w:iCs/>
          <w:kern w:val="0"/>
          <w:sz w:val="24"/>
          <w:szCs w:val="24"/>
          <w:lang w:eastAsia="de-DE"/>
          <w14:ligatures w14:val="none"/>
        </w:rPr>
      </w:pPr>
    </w:p>
    <w:p w14:paraId="49C000F6" w14:textId="77777777" w:rsidR="00A001B2" w:rsidRPr="00A001B2" w:rsidRDefault="00A001B2" w:rsidP="00A001B2">
      <w:pPr>
        <w:tabs>
          <w:tab w:val="left" w:pos="1134"/>
          <w:tab w:val="right" w:pos="7655"/>
        </w:tabs>
        <w:spacing w:after="0" w:line="240" w:lineRule="auto"/>
        <w:ind w:left="1134"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Einzahlungen aus Investitionstätigkeit</w:t>
      </w:r>
      <w:r w:rsidRPr="00A001B2">
        <w:rPr>
          <w:rFonts w:ascii="Arial Narrow" w:eastAsia="Times New Roman" w:hAnsi="Arial Narrow" w:cs="Times New Roman"/>
          <w:bCs/>
          <w:iCs/>
          <w:kern w:val="0"/>
          <w:sz w:val="24"/>
          <w:szCs w:val="24"/>
          <w:lang w:eastAsia="de-DE"/>
          <w14:ligatures w14:val="none"/>
        </w:rPr>
        <w:tab/>
        <w:t>1.666.223,63 EUR</w:t>
      </w:r>
    </w:p>
    <w:p w14:paraId="65F1BE53" w14:textId="77777777" w:rsidR="00A001B2" w:rsidRPr="00A001B2" w:rsidRDefault="00A001B2" w:rsidP="00A001B2">
      <w:pPr>
        <w:tabs>
          <w:tab w:val="left" w:pos="1134"/>
          <w:tab w:val="right" w:pos="7655"/>
        </w:tabs>
        <w:spacing w:after="0" w:line="240" w:lineRule="auto"/>
        <w:ind w:left="1134"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Auszahlungen aus Investitionstätigkeit</w:t>
      </w:r>
      <w:r w:rsidRPr="00A001B2">
        <w:rPr>
          <w:rFonts w:ascii="Arial Narrow" w:eastAsia="Times New Roman" w:hAnsi="Arial Narrow" w:cs="Times New Roman"/>
          <w:bCs/>
          <w:iCs/>
          <w:kern w:val="0"/>
          <w:sz w:val="24"/>
          <w:szCs w:val="24"/>
          <w:lang w:eastAsia="de-DE"/>
          <w14:ligatures w14:val="none"/>
        </w:rPr>
        <w:tab/>
        <w:t>1.849.894,43 EUR</w:t>
      </w:r>
    </w:p>
    <w:p w14:paraId="061F51A5" w14:textId="77777777" w:rsidR="00A001B2" w:rsidRPr="00A001B2" w:rsidRDefault="00A001B2" w:rsidP="00A001B2">
      <w:pPr>
        <w:pBdr>
          <w:top w:val="single" w:sz="4" w:space="1" w:color="auto"/>
          <w:bottom w:val="double" w:sz="4" w:space="1" w:color="auto"/>
        </w:pBdr>
        <w:tabs>
          <w:tab w:val="left" w:pos="1134"/>
          <w:tab w:val="right" w:pos="7655"/>
        </w:tabs>
        <w:spacing w:after="0" w:line="240" w:lineRule="auto"/>
        <w:ind w:left="1134"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Zahlungsmittelsaldo aus Investitionstätigkeit</w:t>
      </w:r>
      <w:r w:rsidRPr="00A001B2">
        <w:rPr>
          <w:rFonts w:ascii="Arial Narrow" w:eastAsia="Times New Roman" w:hAnsi="Arial Narrow" w:cs="Times New Roman"/>
          <w:bCs/>
          <w:iCs/>
          <w:kern w:val="0"/>
          <w:sz w:val="24"/>
          <w:szCs w:val="24"/>
          <w:lang w:eastAsia="de-DE"/>
          <w14:ligatures w14:val="none"/>
        </w:rPr>
        <w:tab/>
        <w:t>-183.670,80 EUR</w:t>
      </w:r>
    </w:p>
    <w:p w14:paraId="7A8BD219" w14:textId="77777777" w:rsidR="00A001B2" w:rsidRPr="00A001B2" w:rsidRDefault="00A001B2" w:rsidP="00A001B2">
      <w:p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6107FAE5" w14:textId="77777777" w:rsidR="00A001B2" w:rsidRPr="00A001B2" w:rsidRDefault="00A001B2" w:rsidP="00A001B2">
      <w:pPr>
        <w:pBdr>
          <w:top w:val="single" w:sz="4" w:space="1" w:color="auto"/>
          <w:bottom w:val="double" w:sz="4" w:space="1" w:color="auto"/>
        </w:pBdr>
        <w:tabs>
          <w:tab w:val="left" w:pos="1134"/>
          <w:tab w:val="left" w:pos="1701"/>
          <w:tab w:val="right" w:pos="7655"/>
        </w:tabs>
        <w:spacing w:after="0" w:line="240" w:lineRule="auto"/>
        <w:ind w:left="1134"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Veranschlagter Finanzierungsmittelüberschuss</w:t>
      </w:r>
      <w:r w:rsidRPr="00A001B2">
        <w:rPr>
          <w:rFonts w:ascii="Arial Narrow" w:eastAsia="Times New Roman" w:hAnsi="Arial Narrow" w:cs="Times New Roman"/>
          <w:bCs/>
          <w:iCs/>
          <w:kern w:val="0"/>
          <w:sz w:val="24"/>
          <w:szCs w:val="24"/>
          <w:lang w:eastAsia="de-DE"/>
          <w14:ligatures w14:val="none"/>
        </w:rPr>
        <w:tab/>
        <w:t>1.195.059,99 EUR</w:t>
      </w:r>
    </w:p>
    <w:p w14:paraId="0A31201A" w14:textId="77777777" w:rsidR="00A001B2" w:rsidRPr="00A001B2" w:rsidRDefault="00A001B2" w:rsidP="00A001B2">
      <w:p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19A9310E" w14:textId="77777777" w:rsidR="00A001B2" w:rsidRPr="00A001B2" w:rsidRDefault="00A001B2" w:rsidP="00A001B2">
      <w:pPr>
        <w:tabs>
          <w:tab w:val="left" w:pos="1134"/>
          <w:tab w:val="left" w:pos="1701"/>
          <w:tab w:val="right" w:pos="7655"/>
        </w:tabs>
        <w:spacing w:after="0" w:line="240" w:lineRule="auto"/>
        <w:ind w:left="851"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Einzahlungen aus Finanzierungstätigkeit</w:t>
      </w:r>
      <w:r w:rsidRPr="00A001B2">
        <w:rPr>
          <w:rFonts w:ascii="Arial Narrow" w:eastAsia="Times New Roman" w:hAnsi="Arial Narrow" w:cs="Times New Roman"/>
          <w:bCs/>
          <w:iCs/>
          <w:kern w:val="0"/>
          <w:sz w:val="24"/>
          <w:szCs w:val="24"/>
          <w:lang w:eastAsia="de-DE"/>
          <w14:ligatures w14:val="none"/>
        </w:rPr>
        <w:tab/>
        <w:t>0,00 EUR</w:t>
      </w:r>
    </w:p>
    <w:p w14:paraId="0ACBB4FD" w14:textId="77777777" w:rsidR="00A001B2" w:rsidRPr="00A001B2" w:rsidRDefault="00A001B2" w:rsidP="00A001B2">
      <w:pPr>
        <w:tabs>
          <w:tab w:val="left" w:pos="1134"/>
          <w:tab w:val="left" w:pos="1701"/>
          <w:tab w:val="right" w:pos="7655"/>
        </w:tabs>
        <w:spacing w:after="0" w:line="240" w:lineRule="auto"/>
        <w:ind w:left="851"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Auszahlungen aus Finanzierungstätigkeit</w:t>
      </w:r>
      <w:r w:rsidRPr="00A001B2">
        <w:rPr>
          <w:rFonts w:ascii="Arial Narrow" w:eastAsia="Times New Roman" w:hAnsi="Arial Narrow" w:cs="Times New Roman"/>
          <w:bCs/>
          <w:iCs/>
          <w:kern w:val="0"/>
          <w:sz w:val="24"/>
          <w:szCs w:val="24"/>
          <w:lang w:eastAsia="de-DE"/>
          <w14:ligatures w14:val="none"/>
        </w:rPr>
        <w:tab/>
        <w:t>535.738,26 EUR</w:t>
      </w:r>
    </w:p>
    <w:p w14:paraId="43EB0BA7" w14:textId="77777777" w:rsidR="00A001B2" w:rsidRPr="00A001B2" w:rsidRDefault="00A001B2" w:rsidP="00A001B2">
      <w:pPr>
        <w:pBdr>
          <w:top w:val="single" w:sz="4" w:space="1" w:color="auto"/>
          <w:bottom w:val="double" w:sz="4" w:space="1" w:color="auto"/>
        </w:pBdr>
        <w:tabs>
          <w:tab w:val="left" w:pos="1134"/>
          <w:tab w:val="left" w:pos="1701"/>
          <w:tab w:val="right" w:pos="7655"/>
        </w:tabs>
        <w:spacing w:after="0" w:line="240" w:lineRule="auto"/>
        <w:ind w:left="851"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Zahlungsmittelsaldo aus Finanzierungstätigkeit</w:t>
      </w:r>
      <w:r w:rsidRPr="00A001B2">
        <w:rPr>
          <w:rFonts w:ascii="Arial Narrow" w:eastAsia="Times New Roman" w:hAnsi="Arial Narrow" w:cs="Times New Roman"/>
          <w:bCs/>
          <w:iCs/>
          <w:kern w:val="0"/>
          <w:sz w:val="24"/>
          <w:szCs w:val="24"/>
          <w:lang w:eastAsia="de-DE"/>
          <w14:ligatures w14:val="none"/>
        </w:rPr>
        <w:tab/>
        <w:t>-535.738,26 EUR</w:t>
      </w:r>
    </w:p>
    <w:p w14:paraId="2B2AD2EC" w14:textId="77777777" w:rsidR="00A001B2" w:rsidRPr="00A001B2" w:rsidRDefault="00A001B2" w:rsidP="00A001B2">
      <w:p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24EA65A1" w14:textId="77777777" w:rsidR="00A001B2" w:rsidRPr="00A001B2" w:rsidRDefault="00A001B2" w:rsidP="00A001B2">
      <w:pPr>
        <w:rPr>
          <w:rFonts w:ascii="Arial Narrow" w:eastAsia="Times New Roman" w:hAnsi="Arial Narrow" w:cs="Times New Roman"/>
          <w:bCs/>
          <w:iCs/>
          <w:kern w:val="0"/>
          <w:sz w:val="24"/>
          <w:szCs w:val="24"/>
          <w:lang w:eastAsia="de-DE"/>
          <w14:ligatures w14:val="none"/>
        </w:rPr>
      </w:pPr>
    </w:p>
    <w:p w14:paraId="4F498650" w14:textId="77777777" w:rsidR="00A001B2" w:rsidRPr="00A001B2" w:rsidRDefault="00A001B2" w:rsidP="00A001B2">
      <w:pPr>
        <w:tabs>
          <w:tab w:val="left" w:pos="1134"/>
          <w:tab w:val="left" w:pos="1701"/>
          <w:tab w:val="right" w:pos="7655"/>
        </w:tabs>
        <w:spacing w:after="0" w:line="240" w:lineRule="auto"/>
        <w:ind w:left="851"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Anfangsbestand an Zahlungsmitteln</w:t>
      </w:r>
      <w:r w:rsidRPr="00A001B2">
        <w:rPr>
          <w:rFonts w:ascii="Arial Narrow" w:eastAsia="Times New Roman" w:hAnsi="Arial Narrow" w:cs="Times New Roman"/>
          <w:bCs/>
          <w:iCs/>
          <w:kern w:val="0"/>
          <w:sz w:val="24"/>
          <w:szCs w:val="24"/>
          <w:lang w:eastAsia="de-DE"/>
          <w14:ligatures w14:val="none"/>
        </w:rPr>
        <w:tab/>
        <w:t>1.160.926,09 EUR</w:t>
      </w:r>
    </w:p>
    <w:p w14:paraId="52B28713" w14:textId="77777777" w:rsidR="00A001B2" w:rsidRPr="00A001B2" w:rsidRDefault="00A001B2" w:rsidP="00A001B2">
      <w:pPr>
        <w:tabs>
          <w:tab w:val="left" w:pos="1134"/>
          <w:tab w:val="left" w:pos="1701"/>
          <w:tab w:val="right" w:pos="7655"/>
        </w:tabs>
        <w:spacing w:after="0" w:line="240" w:lineRule="auto"/>
        <w:ind w:left="851"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Änderung des Finanzmittelbestandes</w:t>
      </w:r>
      <w:r w:rsidRPr="00A001B2">
        <w:rPr>
          <w:rFonts w:ascii="Arial Narrow" w:eastAsia="Times New Roman" w:hAnsi="Arial Narrow" w:cs="Times New Roman"/>
          <w:bCs/>
          <w:iCs/>
          <w:kern w:val="0"/>
          <w:sz w:val="24"/>
          <w:szCs w:val="24"/>
          <w:lang w:eastAsia="de-DE"/>
          <w14:ligatures w14:val="none"/>
        </w:rPr>
        <w:tab/>
        <w:t>659.321,73 EUR</w:t>
      </w:r>
    </w:p>
    <w:p w14:paraId="25F4BFD7" w14:textId="77777777" w:rsidR="00A001B2" w:rsidRPr="00A001B2" w:rsidRDefault="00A001B2" w:rsidP="00A001B2">
      <w:pPr>
        <w:tabs>
          <w:tab w:val="left" w:pos="1134"/>
          <w:tab w:val="left" w:pos="1701"/>
          <w:tab w:val="right" w:pos="7655"/>
        </w:tabs>
        <w:spacing w:after="0" w:line="240" w:lineRule="auto"/>
        <w:ind w:left="851"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Saldo aus haushaltsunwirksamen Vorgängen</w:t>
      </w:r>
      <w:r w:rsidRPr="00A001B2">
        <w:rPr>
          <w:rFonts w:ascii="Arial Narrow" w:eastAsia="Times New Roman" w:hAnsi="Arial Narrow" w:cs="Times New Roman"/>
          <w:bCs/>
          <w:iCs/>
          <w:kern w:val="0"/>
          <w:sz w:val="24"/>
          <w:szCs w:val="24"/>
          <w:lang w:eastAsia="de-DE"/>
          <w14:ligatures w14:val="none"/>
        </w:rPr>
        <w:tab/>
        <w:t>-2.329,14 EUR</w:t>
      </w:r>
    </w:p>
    <w:p w14:paraId="39707013" w14:textId="77777777" w:rsidR="00A001B2" w:rsidRPr="00A001B2" w:rsidRDefault="00A001B2" w:rsidP="00A001B2">
      <w:pPr>
        <w:pBdr>
          <w:top w:val="single" w:sz="4" w:space="1" w:color="auto"/>
          <w:bottom w:val="double" w:sz="4" w:space="1" w:color="auto"/>
        </w:pBdr>
        <w:tabs>
          <w:tab w:val="left" w:pos="1134"/>
          <w:tab w:val="left" w:pos="1701"/>
          <w:tab w:val="right" w:pos="7655"/>
        </w:tabs>
        <w:spacing w:after="0" w:line="240" w:lineRule="auto"/>
        <w:ind w:left="851" w:right="1273"/>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Endbestand an Zahlungsmitteln (Liquiditätsreserve)</w:t>
      </w:r>
      <w:r w:rsidRPr="00A001B2">
        <w:rPr>
          <w:rFonts w:ascii="Arial Narrow" w:eastAsia="Times New Roman" w:hAnsi="Arial Narrow" w:cs="Times New Roman"/>
          <w:bCs/>
          <w:iCs/>
          <w:kern w:val="0"/>
          <w:sz w:val="24"/>
          <w:szCs w:val="24"/>
          <w:lang w:eastAsia="de-DE"/>
          <w14:ligatures w14:val="none"/>
        </w:rPr>
        <w:tab/>
        <w:t>1.820.247,81 EUR</w:t>
      </w:r>
    </w:p>
    <w:p w14:paraId="298861FE" w14:textId="77777777" w:rsidR="00A001B2" w:rsidRPr="00A001B2" w:rsidRDefault="00A001B2" w:rsidP="00A001B2">
      <w:pPr>
        <w:tabs>
          <w:tab w:val="left" w:pos="1134"/>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702425FC" w14:textId="77777777" w:rsidR="00A001B2" w:rsidRPr="00A001B2" w:rsidRDefault="00A001B2" w:rsidP="00A001B2">
      <w:pPr>
        <w:numPr>
          <w:ilvl w:val="0"/>
          <w:numId w:val="3"/>
        </w:num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 xml:space="preserve">Vermögensrechnung (Anlage) </w:t>
      </w:r>
    </w:p>
    <w:p w14:paraId="35D23726" w14:textId="77777777" w:rsidR="00A001B2" w:rsidRPr="00A001B2" w:rsidRDefault="00A001B2" w:rsidP="00A001B2">
      <w:p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5C9A775B" w14:textId="77777777" w:rsidR="00A001B2" w:rsidRPr="00A001B2" w:rsidRDefault="00A001B2" w:rsidP="00A001B2">
      <w:pPr>
        <w:tabs>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Bilanzsumme:</w:t>
      </w:r>
      <w:r w:rsidRPr="00A001B2">
        <w:rPr>
          <w:rFonts w:ascii="Arial Narrow" w:eastAsia="Times New Roman" w:hAnsi="Arial Narrow" w:cs="Times New Roman"/>
          <w:bCs/>
          <w:iCs/>
          <w:kern w:val="0"/>
          <w:sz w:val="24"/>
          <w:szCs w:val="24"/>
          <w:lang w:eastAsia="de-DE"/>
          <w14:ligatures w14:val="none"/>
        </w:rPr>
        <w:tab/>
      </w:r>
      <w:r w:rsidRPr="00A001B2">
        <w:rPr>
          <w:rFonts w:ascii="Arial Narrow" w:eastAsia="Times New Roman" w:hAnsi="Arial Narrow" w:cs="Times New Roman"/>
          <w:bCs/>
          <w:iCs/>
          <w:kern w:val="0"/>
          <w:sz w:val="24"/>
          <w:szCs w:val="24"/>
          <w:lang w:eastAsia="de-DE"/>
          <w14:ligatures w14:val="none"/>
        </w:rPr>
        <w:tab/>
        <w:t>42.390.785,11 EUR</w:t>
      </w:r>
    </w:p>
    <w:p w14:paraId="2CE1D3FF" w14:textId="77777777" w:rsidR="00A001B2" w:rsidRPr="00A001B2" w:rsidRDefault="00A001B2" w:rsidP="00A001B2">
      <w:pPr>
        <w:tabs>
          <w:tab w:val="left" w:pos="426"/>
          <w:tab w:val="left" w:pos="1134"/>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6E8EB3BA" w14:textId="77777777" w:rsidR="00A001B2" w:rsidRPr="00A001B2" w:rsidRDefault="00A001B2" w:rsidP="00A001B2">
      <w:pPr>
        <w:tabs>
          <w:tab w:val="left" w:pos="425"/>
          <w:tab w:val="left" w:pos="1134"/>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davon Aktivseite</w:t>
      </w:r>
    </w:p>
    <w:p w14:paraId="7391DB75" w14:textId="77777777" w:rsidR="00A001B2" w:rsidRPr="00A001B2" w:rsidRDefault="00A001B2" w:rsidP="00A001B2">
      <w:pPr>
        <w:tabs>
          <w:tab w:val="left" w:pos="425"/>
          <w:tab w:val="left" w:pos="1134"/>
          <w:tab w:val="left" w:pos="1276"/>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r>
      <w:r w:rsidRPr="00A001B2">
        <w:rPr>
          <w:rFonts w:ascii="Arial Narrow" w:eastAsia="Times New Roman" w:hAnsi="Arial Narrow" w:cs="Times New Roman"/>
          <w:bCs/>
          <w:iCs/>
          <w:kern w:val="0"/>
          <w:sz w:val="24"/>
          <w:szCs w:val="24"/>
          <w:lang w:eastAsia="de-DE"/>
          <w14:ligatures w14:val="none"/>
        </w:rPr>
        <w:tab/>
        <w:t>Anlagevermögen</w:t>
      </w:r>
      <w:r w:rsidRPr="00A001B2">
        <w:rPr>
          <w:rFonts w:ascii="Arial Narrow" w:eastAsia="Times New Roman" w:hAnsi="Arial Narrow" w:cs="Times New Roman"/>
          <w:bCs/>
          <w:iCs/>
          <w:kern w:val="0"/>
          <w:sz w:val="24"/>
          <w:szCs w:val="24"/>
          <w:lang w:eastAsia="de-DE"/>
          <w14:ligatures w14:val="none"/>
        </w:rPr>
        <w:tab/>
        <w:t>39.624.683,32 EUR</w:t>
      </w:r>
    </w:p>
    <w:p w14:paraId="3D9CFF21" w14:textId="77777777" w:rsidR="00A001B2" w:rsidRPr="00A001B2" w:rsidRDefault="00A001B2" w:rsidP="00A001B2">
      <w:pPr>
        <w:tabs>
          <w:tab w:val="left" w:pos="425"/>
          <w:tab w:val="left" w:pos="1134"/>
          <w:tab w:val="left" w:pos="1276"/>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r>
      <w:r w:rsidRPr="00A001B2">
        <w:rPr>
          <w:rFonts w:ascii="Arial Narrow" w:eastAsia="Times New Roman" w:hAnsi="Arial Narrow" w:cs="Times New Roman"/>
          <w:bCs/>
          <w:iCs/>
          <w:kern w:val="0"/>
          <w:sz w:val="24"/>
          <w:szCs w:val="24"/>
          <w:lang w:eastAsia="de-DE"/>
          <w14:ligatures w14:val="none"/>
        </w:rPr>
        <w:tab/>
        <w:t xml:space="preserve">Umlaufvermögen                                                         </w:t>
      </w:r>
      <w:r w:rsidRPr="00A001B2">
        <w:rPr>
          <w:rFonts w:ascii="Arial Narrow" w:eastAsia="Times New Roman" w:hAnsi="Arial Narrow" w:cs="Times New Roman"/>
          <w:bCs/>
          <w:iCs/>
          <w:kern w:val="0"/>
          <w:sz w:val="24"/>
          <w:szCs w:val="24"/>
          <w:lang w:eastAsia="de-DE"/>
          <w14:ligatures w14:val="none"/>
        </w:rPr>
        <w:tab/>
        <w:t>2.755.736,38 EUR</w:t>
      </w:r>
    </w:p>
    <w:p w14:paraId="4AF476EB" w14:textId="77777777" w:rsidR="00A001B2" w:rsidRPr="00A001B2" w:rsidRDefault="00A001B2" w:rsidP="00A001B2">
      <w:pPr>
        <w:tabs>
          <w:tab w:val="left" w:pos="425"/>
          <w:tab w:val="left" w:pos="1134"/>
          <w:tab w:val="left" w:pos="1276"/>
          <w:tab w:val="left" w:pos="1701"/>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r>
      <w:r w:rsidRPr="00A001B2">
        <w:rPr>
          <w:rFonts w:ascii="Arial Narrow" w:eastAsia="Times New Roman" w:hAnsi="Arial Narrow" w:cs="Times New Roman"/>
          <w:bCs/>
          <w:iCs/>
          <w:kern w:val="0"/>
          <w:sz w:val="24"/>
          <w:szCs w:val="24"/>
          <w:lang w:eastAsia="de-DE"/>
          <w14:ligatures w14:val="none"/>
        </w:rPr>
        <w:tab/>
        <w:t>Aktive Rechnungsabgrenzungsposten</w:t>
      </w:r>
      <w:r w:rsidRPr="00A001B2">
        <w:rPr>
          <w:rFonts w:ascii="Arial Narrow" w:eastAsia="Times New Roman" w:hAnsi="Arial Narrow" w:cs="Times New Roman"/>
          <w:bCs/>
          <w:iCs/>
          <w:kern w:val="0"/>
          <w:sz w:val="24"/>
          <w:szCs w:val="24"/>
          <w:lang w:eastAsia="de-DE"/>
          <w14:ligatures w14:val="none"/>
        </w:rPr>
        <w:tab/>
        <w:t>10.365,41 EUR</w:t>
      </w:r>
    </w:p>
    <w:p w14:paraId="1F82FEB9" w14:textId="77777777" w:rsidR="00A001B2" w:rsidRPr="00A001B2" w:rsidRDefault="00A001B2" w:rsidP="00A001B2">
      <w:pPr>
        <w:tabs>
          <w:tab w:val="left" w:pos="425"/>
          <w:tab w:val="left" w:pos="1134"/>
          <w:tab w:val="left" w:pos="1701"/>
          <w:tab w:val="right" w:pos="6804"/>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p>
    <w:p w14:paraId="7F72C184" w14:textId="77777777" w:rsidR="00A001B2" w:rsidRPr="00A001B2" w:rsidRDefault="00A001B2" w:rsidP="00A001B2">
      <w:pPr>
        <w:tabs>
          <w:tab w:val="left" w:pos="425"/>
          <w:tab w:val="left" w:pos="1134"/>
          <w:tab w:val="left" w:pos="1701"/>
          <w:tab w:val="right" w:pos="6804"/>
          <w:tab w:val="right" w:pos="7655"/>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davon Passivseite</w:t>
      </w:r>
    </w:p>
    <w:p w14:paraId="7076DBA3" w14:textId="77777777" w:rsidR="00A001B2" w:rsidRPr="00A001B2" w:rsidRDefault="00A001B2" w:rsidP="00A001B2">
      <w:pPr>
        <w:tabs>
          <w:tab w:val="left" w:pos="425"/>
          <w:tab w:val="left" w:pos="1134"/>
          <w:tab w:val="left" w:pos="1701"/>
          <w:tab w:val="right" w:pos="7655"/>
          <w:tab w:val="right" w:pos="7797"/>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r>
      <w:r w:rsidRPr="00A001B2">
        <w:rPr>
          <w:rFonts w:ascii="Arial Narrow" w:eastAsia="Times New Roman" w:hAnsi="Arial Narrow" w:cs="Times New Roman"/>
          <w:bCs/>
          <w:iCs/>
          <w:kern w:val="0"/>
          <w:sz w:val="24"/>
          <w:szCs w:val="24"/>
          <w:lang w:eastAsia="de-DE"/>
          <w14:ligatures w14:val="none"/>
        </w:rPr>
        <w:tab/>
        <w:t>Kapitalposition</w:t>
      </w:r>
      <w:r w:rsidRPr="00A001B2">
        <w:rPr>
          <w:rFonts w:ascii="Arial Narrow" w:eastAsia="Times New Roman" w:hAnsi="Arial Narrow" w:cs="Times New Roman"/>
          <w:bCs/>
          <w:iCs/>
          <w:kern w:val="0"/>
          <w:sz w:val="24"/>
          <w:szCs w:val="24"/>
          <w:lang w:eastAsia="de-DE"/>
          <w14:ligatures w14:val="none"/>
        </w:rPr>
        <w:tab/>
        <w:t>26.578.689,56 EUR</w:t>
      </w:r>
    </w:p>
    <w:p w14:paraId="1AD4F1A1" w14:textId="77777777" w:rsidR="00A001B2" w:rsidRPr="00A001B2" w:rsidRDefault="00A001B2" w:rsidP="00A001B2">
      <w:pPr>
        <w:tabs>
          <w:tab w:val="left" w:pos="425"/>
          <w:tab w:val="left" w:pos="1134"/>
          <w:tab w:val="left" w:pos="1701"/>
          <w:tab w:val="right" w:pos="7655"/>
          <w:tab w:val="right" w:pos="7797"/>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lastRenderedPageBreak/>
        <w:tab/>
      </w:r>
      <w:r w:rsidRPr="00A001B2">
        <w:rPr>
          <w:rFonts w:ascii="Arial Narrow" w:eastAsia="Times New Roman" w:hAnsi="Arial Narrow" w:cs="Times New Roman"/>
          <w:bCs/>
          <w:iCs/>
          <w:kern w:val="0"/>
          <w:sz w:val="24"/>
          <w:szCs w:val="24"/>
          <w:lang w:eastAsia="de-DE"/>
          <w14:ligatures w14:val="none"/>
        </w:rPr>
        <w:tab/>
        <w:t>Sonderposten</w:t>
      </w:r>
      <w:r w:rsidRPr="00A001B2">
        <w:rPr>
          <w:rFonts w:ascii="Arial Narrow" w:eastAsia="Times New Roman" w:hAnsi="Arial Narrow" w:cs="Times New Roman"/>
          <w:bCs/>
          <w:iCs/>
          <w:kern w:val="0"/>
          <w:sz w:val="24"/>
          <w:szCs w:val="24"/>
          <w:lang w:eastAsia="de-DE"/>
          <w14:ligatures w14:val="none"/>
        </w:rPr>
        <w:tab/>
        <w:t>11.904.809,66 EUR</w:t>
      </w:r>
    </w:p>
    <w:p w14:paraId="7646793D" w14:textId="77777777" w:rsidR="00A001B2" w:rsidRPr="00A001B2" w:rsidRDefault="00A001B2" w:rsidP="00A001B2">
      <w:pPr>
        <w:tabs>
          <w:tab w:val="left" w:pos="425"/>
          <w:tab w:val="left" w:pos="1134"/>
          <w:tab w:val="left" w:pos="1701"/>
          <w:tab w:val="right" w:pos="7655"/>
          <w:tab w:val="right" w:pos="7797"/>
        </w:tabs>
        <w:spacing w:after="0" w:line="240" w:lineRule="auto"/>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r>
      <w:r w:rsidRPr="00A001B2">
        <w:rPr>
          <w:rFonts w:ascii="Arial Narrow" w:eastAsia="Times New Roman" w:hAnsi="Arial Narrow" w:cs="Times New Roman"/>
          <w:bCs/>
          <w:iCs/>
          <w:kern w:val="0"/>
          <w:sz w:val="24"/>
          <w:szCs w:val="24"/>
          <w:lang w:eastAsia="de-DE"/>
          <w14:ligatures w14:val="none"/>
        </w:rPr>
        <w:tab/>
        <w:t>Rückstellungen</w:t>
      </w:r>
      <w:r w:rsidRPr="00A001B2">
        <w:rPr>
          <w:rFonts w:ascii="Arial Narrow" w:eastAsia="Times New Roman" w:hAnsi="Arial Narrow" w:cs="Times New Roman"/>
          <w:bCs/>
          <w:iCs/>
          <w:kern w:val="0"/>
          <w:sz w:val="24"/>
          <w:szCs w:val="24"/>
          <w:lang w:eastAsia="de-DE"/>
          <w14:ligatures w14:val="none"/>
        </w:rPr>
        <w:tab/>
        <w:t>459.866,74 EUR</w:t>
      </w:r>
    </w:p>
    <w:p w14:paraId="08A60B81" w14:textId="77777777" w:rsidR="00A001B2" w:rsidRPr="00A001B2" w:rsidRDefault="00A001B2" w:rsidP="00A001B2">
      <w:pPr>
        <w:tabs>
          <w:tab w:val="left" w:pos="425"/>
          <w:tab w:val="left" w:pos="1134"/>
          <w:tab w:val="left" w:pos="1701"/>
          <w:tab w:val="right" w:pos="7655"/>
        </w:tabs>
        <w:spacing w:after="0" w:line="240" w:lineRule="auto"/>
        <w:ind w:left="720"/>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Verbindlichkeiten</w:t>
      </w:r>
      <w:r w:rsidRPr="00A001B2">
        <w:rPr>
          <w:rFonts w:ascii="Arial Narrow" w:eastAsia="Times New Roman" w:hAnsi="Arial Narrow" w:cs="Times New Roman"/>
          <w:bCs/>
          <w:iCs/>
          <w:kern w:val="0"/>
          <w:sz w:val="24"/>
          <w:szCs w:val="24"/>
          <w:lang w:eastAsia="de-DE"/>
          <w14:ligatures w14:val="none"/>
        </w:rPr>
        <w:tab/>
        <w:t>3.424.388,27 EUR</w:t>
      </w:r>
    </w:p>
    <w:p w14:paraId="65140E88" w14:textId="77777777" w:rsidR="00A001B2" w:rsidRPr="00A001B2" w:rsidRDefault="00A001B2" w:rsidP="00A001B2">
      <w:pPr>
        <w:tabs>
          <w:tab w:val="left" w:pos="425"/>
          <w:tab w:val="left" w:pos="1134"/>
          <w:tab w:val="left" w:pos="1701"/>
          <w:tab w:val="right" w:pos="7655"/>
        </w:tabs>
        <w:spacing w:after="0" w:line="240" w:lineRule="auto"/>
        <w:ind w:left="720"/>
        <w:contextualSpacing/>
        <w:jc w:val="both"/>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b/>
        <w:t>Passive Rechnungsabgrenzungsposten</w:t>
      </w:r>
      <w:r w:rsidRPr="00A001B2">
        <w:rPr>
          <w:rFonts w:ascii="Arial Narrow" w:eastAsia="Times New Roman" w:hAnsi="Arial Narrow" w:cs="Times New Roman"/>
          <w:bCs/>
          <w:iCs/>
          <w:kern w:val="0"/>
          <w:sz w:val="24"/>
          <w:szCs w:val="24"/>
          <w:lang w:eastAsia="de-DE"/>
          <w14:ligatures w14:val="none"/>
        </w:rPr>
        <w:tab/>
        <w:t>23.030,88 EUR</w:t>
      </w:r>
    </w:p>
    <w:p w14:paraId="4D7E59DD" w14:textId="77777777" w:rsidR="00A001B2" w:rsidRPr="00A001B2" w:rsidRDefault="00A001B2" w:rsidP="00A001B2">
      <w:pPr>
        <w:tabs>
          <w:tab w:val="left" w:pos="425"/>
          <w:tab w:val="left" w:pos="1134"/>
          <w:tab w:val="left" w:pos="1701"/>
          <w:tab w:val="right" w:pos="7655"/>
        </w:tabs>
        <w:spacing w:after="0" w:line="240" w:lineRule="auto"/>
        <w:ind w:left="720"/>
        <w:contextualSpacing/>
        <w:jc w:val="both"/>
        <w:rPr>
          <w:rFonts w:ascii="Arial Narrow" w:eastAsia="Times New Roman" w:hAnsi="Arial Narrow" w:cs="Times New Roman"/>
          <w:bCs/>
          <w:iCs/>
          <w:kern w:val="0"/>
          <w:sz w:val="24"/>
          <w:szCs w:val="24"/>
          <w:lang w:eastAsia="de-DE"/>
          <w14:ligatures w14:val="none"/>
        </w:rPr>
      </w:pPr>
    </w:p>
    <w:p w14:paraId="034A40B1" w14:textId="77777777" w:rsidR="00A001B2" w:rsidRPr="00A001B2" w:rsidRDefault="00A001B2" w:rsidP="00A001B2">
      <w:pPr>
        <w:numPr>
          <w:ilvl w:val="0"/>
          <w:numId w:val="2"/>
        </w:numPr>
        <w:tabs>
          <w:tab w:val="left" w:pos="426"/>
          <w:tab w:val="left" w:pos="1134"/>
        </w:tabs>
        <w:spacing w:after="0" w:line="240" w:lineRule="auto"/>
        <w:contextualSpacing/>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Die im Haushaltsjahr 2018 angefallenen über- und außerplanmäßigen Aufwendungen/ Auszahlungen werden entsprechend des Rechnungsabschlusses festgestellt.</w:t>
      </w:r>
    </w:p>
    <w:p w14:paraId="52A06BC4" w14:textId="77777777" w:rsidR="00A001B2" w:rsidRPr="00A001B2" w:rsidRDefault="00A001B2" w:rsidP="00A001B2">
      <w:pPr>
        <w:tabs>
          <w:tab w:val="left" w:pos="426"/>
          <w:tab w:val="left" w:pos="1134"/>
        </w:tabs>
        <w:spacing w:after="0" w:line="240" w:lineRule="auto"/>
        <w:ind w:left="720"/>
        <w:contextualSpacing/>
        <w:rPr>
          <w:rFonts w:ascii="Arial Narrow" w:eastAsia="Times New Roman" w:hAnsi="Arial Narrow" w:cs="Times New Roman"/>
          <w:bCs/>
          <w:iCs/>
          <w:kern w:val="0"/>
          <w:sz w:val="24"/>
          <w:szCs w:val="24"/>
          <w:lang w:eastAsia="de-DE"/>
          <w14:ligatures w14:val="none"/>
        </w:rPr>
      </w:pPr>
    </w:p>
    <w:p w14:paraId="6F531126" w14:textId="77777777" w:rsidR="00A001B2" w:rsidRPr="00A001B2" w:rsidRDefault="00A001B2" w:rsidP="00A001B2">
      <w:pPr>
        <w:numPr>
          <w:ilvl w:val="0"/>
          <w:numId w:val="2"/>
        </w:numPr>
        <w:tabs>
          <w:tab w:val="left" w:pos="284"/>
        </w:tabs>
        <w:spacing w:after="0" w:line="240" w:lineRule="auto"/>
        <w:contextualSpacing/>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 xml:space="preserve">Von der Anwendung des § 88 Abs. 5 </w:t>
      </w:r>
      <w:proofErr w:type="spellStart"/>
      <w:r w:rsidRPr="00A001B2">
        <w:rPr>
          <w:rFonts w:ascii="Arial Narrow" w:eastAsia="Times New Roman" w:hAnsi="Arial Narrow" w:cs="Times New Roman"/>
          <w:bCs/>
          <w:iCs/>
          <w:kern w:val="0"/>
          <w:sz w:val="24"/>
          <w:szCs w:val="24"/>
          <w:lang w:eastAsia="de-DE"/>
          <w14:ligatures w14:val="none"/>
        </w:rPr>
        <w:t>SächsGemO</w:t>
      </w:r>
      <w:proofErr w:type="spellEnd"/>
      <w:r w:rsidRPr="00A001B2">
        <w:rPr>
          <w:rFonts w:ascii="Arial Narrow" w:eastAsia="Times New Roman" w:hAnsi="Arial Narrow" w:cs="Times New Roman"/>
          <w:bCs/>
          <w:iCs/>
          <w:kern w:val="0"/>
          <w:sz w:val="24"/>
          <w:szCs w:val="24"/>
          <w:lang w:eastAsia="de-DE"/>
          <w14:ligatures w14:val="none"/>
        </w:rPr>
        <w:t xml:space="preserve"> wird Gebrauch gemacht. Dies bedeutet, dass auf die Erstellung der im § 88 Abs. 2, Satz 2 und § 88 Abs. 3 und 4 geforderten Anlagen wie Anhang und Rechenschaftsbericht verzichtet wird.</w:t>
      </w:r>
    </w:p>
    <w:p w14:paraId="60C5D291" w14:textId="77777777" w:rsidR="00A001B2" w:rsidRPr="00A001B2" w:rsidRDefault="00A001B2" w:rsidP="00A001B2">
      <w:pPr>
        <w:tabs>
          <w:tab w:val="left" w:pos="426"/>
          <w:tab w:val="left" w:pos="1134"/>
        </w:tabs>
        <w:spacing w:after="0" w:line="240" w:lineRule="auto"/>
        <w:ind w:left="720"/>
        <w:contextualSpacing/>
        <w:rPr>
          <w:rFonts w:ascii="Arial Narrow" w:eastAsia="Times New Roman" w:hAnsi="Arial Narrow" w:cs="Times New Roman"/>
          <w:bCs/>
          <w:iCs/>
          <w:kern w:val="0"/>
          <w:sz w:val="24"/>
          <w:szCs w:val="24"/>
          <w:lang w:eastAsia="de-DE"/>
          <w14:ligatures w14:val="none"/>
        </w:rPr>
      </w:pPr>
    </w:p>
    <w:p w14:paraId="202BF6F2" w14:textId="77777777" w:rsidR="00A001B2" w:rsidRPr="00A001B2" w:rsidRDefault="00A001B2" w:rsidP="00A001B2">
      <w:pPr>
        <w:numPr>
          <w:ilvl w:val="0"/>
          <w:numId w:val="2"/>
        </w:numPr>
        <w:tabs>
          <w:tab w:val="left" w:pos="284"/>
        </w:tabs>
        <w:spacing w:after="0" w:line="240" w:lineRule="auto"/>
        <w:contextualSpacing/>
        <w:rPr>
          <w:rFonts w:ascii="Arial Narrow" w:eastAsia="Times New Roman" w:hAnsi="Arial Narrow" w:cs="Times New Roman"/>
          <w:bCs/>
          <w:iCs/>
          <w:kern w:val="0"/>
          <w:sz w:val="24"/>
          <w:szCs w:val="24"/>
          <w:lang w:eastAsia="de-DE"/>
          <w14:ligatures w14:val="none"/>
        </w:rPr>
      </w:pPr>
      <w:r w:rsidRPr="00A001B2">
        <w:rPr>
          <w:rFonts w:ascii="Arial Narrow" w:eastAsia="Times New Roman" w:hAnsi="Arial Narrow" w:cs="Times New Roman"/>
          <w:bCs/>
          <w:iCs/>
          <w:kern w:val="0"/>
          <w:sz w:val="24"/>
          <w:szCs w:val="24"/>
          <w:lang w:eastAsia="de-DE"/>
          <w14:ligatures w14:val="none"/>
        </w:rPr>
        <w:t>Auf die Aufstellung eines konsolidierten Gesamtabschlusses der Stadt Wittichenau für das Jahr 2018 wird gemäß VwV Kommunale Haushaltswirtschaft, Punkt XIV Nr. 3 verzichtet.</w:t>
      </w:r>
    </w:p>
    <w:p w14:paraId="5D4995EA" w14:textId="77777777" w:rsidR="00A001B2" w:rsidRDefault="00A001B2" w:rsidP="00ED7614">
      <w:pPr>
        <w:suppressAutoHyphens/>
        <w:spacing w:line="100" w:lineRule="atLeast"/>
        <w:contextualSpacing/>
        <w:jc w:val="both"/>
        <w:rPr>
          <w:rFonts w:ascii="Arial Narrow" w:hAnsi="Arial Narrow"/>
          <w:i/>
        </w:rPr>
      </w:pPr>
    </w:p>
    <w:p w14:paraId="516BD4C0" w14:textId="77777777" w:rsidR="00C35F65" w:rsidRPr="00154FD9" w:rsidRDefault="00C35F65" w:rsidP="00C35F65">
      <w:pPr>
        <w:suppressAutoHyphens/>
        <w:spacing w:line="100" w:lineRule="atLeast"/>
        <w:contextualSpacing/>
        <w:jc w:val="both"/>
        <w:rPr>
          <w:rFonts w:ascii="Arial Narrow" w:eastAsia="Calibri" w:hAnsi="Arial Narrow" w:cs="Times New Roman"/>
          <w:i/>
          <w:u w:val="single"/>
          <w:lang w:eastAsia="ar-SA"/>
        </w:rPr>
      </w:pPr>
      <w:r w:rsidRPr="00154FD9">
        <w:rPr>
          <w:rFonts w:ascii="Arial Narrow" w:eastAsia="Calibri" w:hAnsi="Arial Narrow" w:cs="Times New Roman"/>
          <w:i/>
          <w:u w:val="single"/>
          <w:lang w:eastAsia="ar-SA"/>
        </w:rPr>
        <w:t>Erläuterungen:</w:t>
      </w:r>
    </w:p>
    <w:p w14:paraId="201BDEEA" w14:textId="290A039C" w:rsidR="00775FD3" w:rsidRPr="00154FD9" w:rsidRDefault="00775FD3" w:rsidP="00775FD3">
      <w:pPr>
        <w:contextualSpacing/>
        <w:jc w:val="both"/>
        <w:rPr>
          <w:rFonts w:ascii="Arial Narrow" w:eastAsia="Times New Roman" w:hAnsi="Arial Narrow" w:cs="Times New Roman"/>
          <w:i/>
          <w:iCs/>
          <w:szCs w:val="24"/>
          <w:lang w:eastAsia="de-DE"/>
        </w:rPr>
      </w:pPr>
      <w:r w:rsidRPr="00154FD9">
        <w:rPr>
          <w:rFonts w:ascii="Arial Narrow" w:eastAsia="Times New Roman" w:hAnsi="Arial Narrow" w:cs="Times New Roman"/>
          <w:i/>
          <w:iCs/>
          <w:szCs w:val="24"/>
          <w:lang w:eastAsia="de-DE"/>
        </w:rPr>
        <w:t xml:space="preserve">Durch die Einführung der Doppik als neues kommunales Rechnungswesen in Sachsen zum 01.01.2013 hatte sich in der Folgezeit die Prüfung und Feststellung der Jahresabschlüsse des Stadthaushaltes extrem verzögert. Zunächst lag es daran, dass zum Stichtag 01.01.2013 alle Kommunen eine Eröffnungsbilanz aufstellen und durch ein Wirtschaftsprüfungsunternehmen prüfen lassen mussten. Durch die so entstandene </w:t>
      </w:r>
      <w:r w:rsidR="00E37FB5" w:rsidRPr="00154FD9">
        <w:rPr>
          <w:rFonts w:ascii="Arial Narrow" w:eastAsia="Times New Roman" w:hAnsi="Arial Narrow" w:cs="Times New Roman"/>
          <w:i/>
          <w:iCs/>
          <w:szCs w:val="24"/>
          <w:lang w:eastAsia="de-DE"/>
        </w:rPr>
        <w:t>Ü</w:t>
      </w:r>
      <w:r w:rsidRPr="00154FD9">
        <w:rPr>
          <w:rFonts w:ascii="Arial Narrow" w:eastAsia="Times New Roman" w:hAnsi="Arial Narrow" w:cs="Times New Roman"/>
          <w:i/>
          <w:iCs/>
          <w:szCs w:val="24"/>
          <w:lang w:eastAsia="de-DE"/>
        </w:rPr>
        <w:t xml:space="preserve">berlastung der Prüfungsunternehmen zog sich dies jahrelang hin. Erst </w:t>
      </w:r>
      <w:r w:rsidR="00E37FB5" w:rsidRPr="00154FD9">
        <w:rPr>
          <w:rFonts w:ascii="Arial Narrow" w:eastAsia="Times New Roman" w:hAnsi="Arial Narrow" w:cs="Times New Roman"/>
          <w:i/>
          <w:iCs/>
          <w:szCs w:val="24"/>
          <w:lang w:eastAsia="de-DE"/>
        </w:rPr>
        <w:t xml:space="preserve">2016 - </w:t>
      </w:r>
      <w:r w:rsidRPr="00154FD9">
        <w:rPr>
          <w:rFonts w:ascii="Arial Narrow" w:eastAsia="Times New Roman" w:hAnsi="Arial Narrow" w:cs="Times New Roman"/>
          <w:i/>
          <w:iCs/>
          <w:szCs w:val="24"/>
          <w:lang w:eastAsia="de-DE"/>
        </w:rPr>
        <w:t xml:space="preserve">nach erfolgreich absolvierter Prüfung der Eröffnungsbilanz – konnte die Prüfung der Jahresabschlüsse ab 2013 in Angriff genommen werden. Dann zeigte sich jedoch, dass es hierbei immer wieder kaum beherrschbare Probleme mit der damaligen Kämmerei-Software gab. Daher konnte der Stadtrat den ersten Doppik-Jahresabschluss von 2013 erst am 09.12.2020 feststellen. Am 09.03.2022 folgte dann der Stadtratsbeschluss über den Jahresabschluss 2014. </w:t>
      </w:r>
      <w:r w:rsidR="00E37FB5" w:rsidRPr="00154FD9">
        <w:rPr>
          <w:rFonts w:ascii="Arial Narrow" w:eastAsia="Times New Roman" w:hAnsi="Arial Narrow" w:cs="Times New Roman"/>
          <w:i/>
          <w:iCs/>
          <w:szCs w:val="24"/>
          <w:lang w:eastAsia="de-DE"/>
        </w:rPr>
        <w:t>S</w:t>
      </w:r>
      <w:r w:rsidRPr="00154FD9">
        <w:rPr>
          <w:rFonts w:ascii="Arial Narrow" w:eastAsia="Times New Roman" w:hAnsi="Arial Narrow" w:cs="Times New Roman"/>
          <w:i/>
          <w:iCs/>
          <w:szCs w:val="24"/>
          <w:lang w:eastAsia="de-DE"/>
        </w:rPr>
        <w:t xml:space="preserve">eit Anfang 2023 </w:t>
      </w:r>
      <w:r w:rsidR="00E37FB5" w:rsidRPr="00154FD9">
        <w:rPr>
          <w:rFonts w:ascii="Arial Narrow" w:eastAsia="Times New Roman" w:hAnsi="Arial Narrow" w:cs="Times New Roman"/>
          <w:i/>
          <w:iCs/>
          <w:szCs w:val="24"/>
          <w:lang w:eastAsia="de-DE"/>
        </w:rPr>
        <w:t xml:space="preserve">ist </w:t>
      </w:r>
      <w:r w:rsidRPr="00154FD9">
        <w:rPr>
          <w:rFonts w:ascii="Arial Narrow" w:eastAsia="Times New Roman" w:hAnsi="Arial Narrow" w:cs="Times New Roman"/>
          <w:i/>
          <w:iCs/>
          <w:szCs w:val="24"/>
          <w:lang w:eastAsia="de-DE"/>
        </w:rPr>
        <w:t xml:space="preserve">eine neue Software in der Kämmerei in Anwendung. Seitdem ist die Erstellung der noch fehlenden Doppik-Jahresabschlüsse wesentlich problemloser möglich. Am 18.10.2023 konnte der Stadtrat den Jahresabschluss 2015, am 09.10.2024 den Jahresabschluss 2016 und am 13.08.2025 den Jahresabschluss 2017 feststellen. </w:t>
      </w:r>
    </w:p>
    <w:p w14:paraId="68437C64" w14:textId="3E403481" w:rsidR="00775FD3" w:rsidRPr="00154FD9" w:rsidRDefault="00775FD3" w:rsidP="00775FD3">
      <w:pPr>
        <w:contextualSpacing/>
        <w:jc w:val="both"/>
        <w:rPr>
          <w:rFonts w:ascii="Arial Narrow" w:eastAsia="Times New Roman" w:hAnsi="Arial Narrow" w:cs="Times New Roman"/>
          <w:i/>
          <w:iCs/>
          <w:szCs w:val="24"/>
          <w:lang w:eastAsia="de-DE"/>
        </w:rPr>
      </w:pPr>
      <w:r w:rsidRPr="00154FD9">
        <w:rPr>
          <w:rFonts w:ascii="Arial Narrow" w:eastAsia="Times New Roman" w:hAnsi="Arial Narrow" w:cs="Times New Roman"/>
          <w:i/>
          <w:iCs/>
          <w:szCs w:val="24"/>
          <w:lang w:eastAsia="de-DE"/>
        </w:rPr>
        <w:t xml:space="preserve">Mit dem obigen Beschluss ist nun auch der städtische Jahresabschluss 2018 festgestellt worden. Die Prüfung verlief ohne Beanstandungen, so dass die Wirtschaftsprüfungsgesellschaft REVICON Deutsche Treuhand Gesellschaft </w:t>
      </w:r>
      <w:proofErr w:type="spellStart"/>
      <w:r w:rsidRPr="00154FD9">
        <w:rPr>
          <w:rFonts w:ascii="Arial Narrow" w:eastAsia="Times New Roman" w:hAnsi="Arial Narrow" w:cs="Times New Roman"/>
          <w:i/>
          <w:iCs/>
          <w:szCs w:val="24"/>
          <w:lang w:eastAsia="de-DE"/>
        </w:rPr>
        <w:t>m.b.H</w:t>
      </w:r>
      <w:proofErr w:type="spellEnd"/>
      <w:r w:rsidRPr="00154FD9">
        <w:rPr>
          <w:rFonts w:ascii="Arial Narrow" w:eastAsia="Times New Roman" w:hAnsi="Arial Narrow" w:cs="Times New Roman"/>
          <w:i/>
          <w:iCs/>
          <w:szCs w:val="24"/>
          <w:lang w:eastAsia="de-DE"/>
        </w:rPr>
        <w:t xml:space="preserve">. einen uneingeschränkten Bestätigungsvermerk erteilen konnte. </w:t>
      </w:r>
    </w:p>
    <w:p w14:paraId="0007E9D0" w14:textId="2AA3A493" w:rsidR="00775FD3" w:rsidRPr="00C774C2" w:rsidRDefault="00775FD3" w:rsidP="00775FD3">
      <w:pPr>
        <w:contextualSpacing/>
        <w:jc w:val="both"/>
        <w:rPr>
          <w:rFonts w:ascii="Arial Narrow" w:eastAsia="Times New Roman" w:hAnsi="Arial Narrow" w:cs="Times New Roman"/>
          <w:i/>
          <w:iCs/>
          <w:szCs w:val="24"/>
          <w:lang w:eastAsia="de-DE"/>
        </w:rPr>
      </w:pPr>
      <w:r w:rsidRPr="00154FD9">
        <w:rPr>
          <w:rFonts w:ascii="Arial Narrow" w:eastAsia="Times New Roman" w:hAnsi="Arial Narrow" w:cs="Times New Roman"/>
          <w:i/>
          <w:iCs/>
          <w:szCs w:val="24"/>
          <w:lang w:eastAsia="de-DE"/>
        </w:rPr>
        <w:t xml:space="preserve">Ziel ist es, die </w:t>
      </w:r>
      <w:r w:rsidR="00A45EED" w:rsidRPr="00154FD9">
        <w:rPr>
          <w:rFonts w:ascii="Arial Narrow" w:eastAsia="Times New Roman" w:hAnsi="Arial Narrow" w:cs="Times New Roman"/>
          <w:i/>
          <w:iCs/>
          <w:szCs w:val="24"/>
          <w:lang w:eastAsia="de-DE"/>
        </w:rPr>
        <w:t xml:space="preserve">verbliebenen </w:t>
      </w:r>
      <w:r w:rsidRPr="00154FD9">
        <w:rPr>
          <w:rFonts w:ascii="Arial Narrow" w:eastAsia="Times New Roman" w:hAnsi="Arial Narrow" w:cs="Times New Roman"/>
          <w:i/>
          <w:iCs/>
          <w:szCs w:val="24"/>
          <w:lang w:eastAsia="de-DE"/>
        </w:rPr>
        <w:t xml:space="preserve">Rückstände bei der Feststellung der Jahresabschlüsse des städtischen Haushalts </w:t>
      </w:r>
      <w:r w:rsidR="00A45EED" w:rsidRPr="00154FD9">
        <w:rPr>
          <w:rFonts w:ascii="Arial Narrow" w:eastAsia="Times New Roman" w:hAnsi="Arial Narrow" w:cs="Times New Roman"/>
          <w:i/>
          <w:iCs/>
          <w:szCs w:val="24"/>
          <w:lang w:eastAsia="de-DE"/>
        </w:rPr>
        <w:t xml:space="preserve">weiter </w:t>
      </w:r>
      <w:r w:rsidRPr="00154FD9">
        <w:rPr>
          <w:rFonts w:ascii="Arial Narrow" w:eastAsia="Times New Roman" w:hAnsi="Arial Narrow" w:cs="Times New Roman"/>
          <w:i/>
          <w:iCs/>
          <w:szCs w:val="24"/>
          <w:lang w:eastAsia="de-DE"/>
        </w:rPr>
        <w:t>möglichst zügig abzubauen.</w:t>
      </w:r>
    </w:p>
    <w:p w14:paraId="247FAF11" w14:textId="77777777" w:rsidR="00C35F65" w:rsidRPr="00775FD3" w:rsidRDefault="00C35F65" w:rsidP="00ED7614">
      <w:pPr>
        <w:suppressAutoHyphens/>
        <w:spacing w:line="100" w:lineRule="atLeast"/>
        <w:contextualSpacing/>
        <w:jc w:val="both"/>
        <w:rPr>
          <w:rFonts w:ascii="Arial Narrow" w:eastAsia="Calibri" w:hAnsi="Arial Narrow" w:cs="Times New Roman"/>
          <w:i/>
          <w:highlight w:val="yellow"/>
          <w:lang w:eastAsia="ar-SA"/>
        </w:rPr>
      </w:pPr>
    </w:p>
    <w:p w14:paraId="5B4ED1EF" w14:textId="77777777" w:rsidR="00C35F65" w:rsidRDefault="00C35F65" w:rsidP="00ED7614">
      <w:pPr>
        <w:suppressAutoHyphens/>
        <w:spacing w:line="100" w:lineRule="atLeast"/>
        <w:contextualSpacing/>
        <w:jc w:val="both"/>
        <w:rPr>
          <w:rFonts w:ascii="Arial Narrow" w:hAnsi="Arial Narrow"/>
          <w:i/>
        </w:rPr>
      </w:pPr>
    </w:p>
    <w:p w14:paraId="655EE80A" w14:textId="77777777" w:rsidR="00154FD9" w:rsidRPr="00775FD3" w:rsidRDefault="00154FD9" w:rsidP="00ED7614">
      <w:pPr>
        <w:suppressAutoHyphens/>
        <w:spacing w:line="100" w:lineRule="atLeast"/>
        <w:contextualSpacing/>
        <w:jc w:val="both"/>
        <w:rPr>
          <w:rFonts w:ascii="Arial Narrow" w:hAnsi="Arial Narrow"/>
          <w:i/>
        </w:rPr>
      </w:pPr>
    </w:p>
    <w:p w14:paraId="3A388E44" w14:textId="77777777" w:rsidR="00C35F65" w:rsidRPr="00C35F65" w:rsidRDefault="00C35F65" w:rsidP="00C35F65">
      <w:pPr>
        <w:spacing w:after="0" w:line="240" w:lineRule="auto"/>
        <w:jc w:val="both"/>
        <w:rPr>
          <w:rFonts w:ascii="Arial Narrow" w:eastAsia="Times New Roman" w:hAnsi="Arial Narrow" w:cs="Times New Roman"/>
          <w:b/>
          <w:iCs/>
          <w:kern w:val="0"/>
          <w:sz w:val="24"/>
          <w:szCs w:val="24"/>
          <w:u w:val="single"/>
          <w:lang w:val="en-US" w:eastAsia="de-DE"/>
          <w14:ligatures w14:val="none"/>
        </w:rPr>
      </w:pPr>
      <w:proofErr w:type="spellStart"/>
      <w:r w:rsidRPr="00C35F65">
        <w:rPr>
          <w:rFonts w:ascii="Arial Narrow" w:eastAsia="Times New Roman" w:hAnsi="Arial Narrow" w:cs="Times New Roman"/>
          <w:b/>
          <w:iCs/>
          <w:kern w:val="0"/>
          <w:sz w:val="24"/>
          <w:szCs w:val="24"/>
          <w:u w:val="single"/>
          <w:lang w:val="en-US" w:eastAsia="de-DE"/>
          <w14:ligatures w14:val="none"/>
        </w:rPr>
        <w:t>Beschluss</w:t>
      </w:r>
      <w:proofErr w:type="spellEnd"/>
      <w:r w:rsidRPr="00C35F65">
        <w:rPr>
          <w:rFonts w:ascii="Arial Narrow" w:eastAsia="Times New Roman" w:hAnsi="Arial Narrow" w:cs="Times New Roman"/>
          <w:b/>
          <w:iCs/>
          <w:kern w:val="0"/>
          <w:sz w:val="24"/>
          <w:szCs w:val="24"/>
          <w:u w:val="single"/>
          <w:lang w:val="en-US" w:eastAsia="de-DE"/>
          <w14:ligatures w14:val="none"/>
        </w:rPr>
        <w:t>-Nr.  05 / 01 / 2026</w:t>
      </w:r>
    </w:p>
    <w:p w14:paraId="26B68A4A" w14:textId="77777777" w:rsidR="00C35F65" w:rsidRPr="00C35F65" w:rsidRDefault="00C35F65" w:rsidP="00C35F65">
      <w:pPr>
        <w:pBdr>
          <w:bottom w:val="single" w:sz="4" w:space="1" w:color="auto"/>
        </w:pBdr>
        <w:spacing w:after="120"/>
        <w:contextualSpacing/>
        <w:rPr>
          <w:rFonts w:ascii="Arial Narrow" w:eastAsia="Calibri" w:hAnsi="Arial Narrow" w:cs="Times New Roman"/>
          <w:b/>
          <w:iCs/>
          <w:kern w:val="0"/>
          <w:sz w:val="24"/>
          <w:szCs w:val="24"/>
          <w14:ligatures w14:val="none"/>
        </w:rPr>
      </w:pPr>
      <w:r w:rsidRPr="00C35F65">
        <w:rPr>
          <w:rFonts w:ascii="Arial Narrow" w:eastAsia="Calibri" w:hAnsi="Arial Narrow" w:cs="Times New Roman"/>
          <w:b/>
          <w:iCs/>
          <w:kern w:val="0"/>
          <w:sz w:val="24"/>
          <w:szCs w:val="24"/>
          <w14:ligatures w14:val="none"/>
        </w:rPr>
        <w:t xml:space="preserve">Beschluss zur Billigung und Offenlage des Entwurfs der Ergänzungssatzung </w:t>
      </w:r>
      <w:proofErr w:type="spellStart"/>
      <w:r w:rsidRPr="00C35F65">
        <w:rPr>
          <w:rFonts w:ascii="Arial Narrow" w:eastAsia="Calibri" w:hAnsi="Arial Narrow" w:cs="Arial"/>
          <w:b/>
          <w:iCs/>
          <w:kern w:val="0"/>
          <w:sz w:val="24"/>
          <w:szCs w:val="24"/>
          <w14:ligatures w14:val="none"/>
        </w:rPr>
        <w:t>Saalau</w:t>
      </w:r>
      <w:proofErr w:type="spellEnd"/>
      <w:r w:rsidRPr="00C35F65">
        <w:rPr>
          <w:rFonts w:ascii="Arial Narrow" w:eastAsia="Calibri" w:hAnsi="Arial Narrow" w:cs="Arial"/>
          <w:b/>
          <w:iCs/>
          <w:kern w:val="0"/>
          <w:sz w:val="24"/>
          <w:szCs w:val="24"/>
          <w14:ligatures w14:val="none"/>
        </w:rPr>
        <w:t xml:space="preserve"> - Nord </w:t>
      </w:r>
      <w:r w:rsidRPr="00C35F65">
        <w:rPr>
          <w:rFonts w:ascii="Arial Narrow" w:eastAsia="Calibri" w:hAnsi="Arial Narrow" w:cs="Times New Roman"/>
          <w:b/>
          <w:iCs/>
          <w:kern w:val="0"/>
          <w:sz w:val="24"/>
          <w:szCs w:val="24"/>
          <w14:ligatures w14:val="none"/>
        </w:rPr>
        <w:t xml:space="preserve">nach § 34 Abs. 4 Nr. 3 BauGB (Gemarkung </w:t>
      </w:r>
      <w:proofErr w:type="spellStart"/>
      <w:r w:rsidRPr="00C35F65">
        <w:rPr>
          <w:rFonts w:ascii="Arial Narrow" w:eastAsia="Calibri" w:hAnsi="Arial Narrow" w:cs="Times New Roman"/>
          <w:b/>
          <w:iCs/>
          <w:kern w:val="0"/>
          <w:sz w:val="24"/>
          <w:szCs w:val="24"/>
          <w14:ligatures w14:val="none"/>
        </w:rPr>
        <w:t>Saalau</w:t>
      </w:r>
      <w:proofErr w:type="spellEnd"/>
      <w:r w:rsidRPr="00C35F65">
        <w:rPr>
          <w:rFonts w:ascii="Arial Narrow" w:eastAsia="Calibri" w:hAnsi="Arial Narrow" w:cs="Times New Roman"/>
          <w:b/>
          <w:iCs/>
          <w:kern w:val="0"/>
          <w:sz w:val="24"/>
          <w:szCs w:val="24"/>
          <w14:ligatures w14:val="none"/>
        </w:rPr>
        <w:t xml:space="preserve"> Flur 2, Teilbereiche der Flurstücke 44/1, 45 und 67)</w:t>
      </w:r>
    </w:p>
    <w:p w14:paraId="43E40C94" w14:textId="77777777" w:rsidR="00C35F65" w:rsidRPr="00C35F65" w:rsidRDefault="00C35F65" w:rsidP="00C35F65">
      <w:pPr>
        <w:contextualSpacing/>
        <w:jc w:val="both"/>
        <w:rPr>
          <w:rFonts w:ascii="Arial Narrow" w:eastAsia="Calibri" w:hAnsi="Arial Narrow" w:cs="Times New Roman"/>
          <w:bCs/>
          <w:iCs/>
          <w:kern w:val="0"/>
          <w:sz w:val="24"/>
          <w:szCs w:val="24"/>
          <w14:ligatures w14:val="none"/>
        </w:rPr>
      </w:pPr>
      <w:r w:rsidRPr="00C35F65">
        <w:rPr>
          <w:rFonts w:ascii="Arial Narrow" w:eastAsia="Calibri" w:hAnsi="Arial Narrow" w:cs="Times New Roman"/>
          <w:bCs/>
          <w:iCs/>
          <w:kern w:val="0"/>
          <w:sz w:val="24"/>
          <w:szCs w:val="24"/>
          <w14:ligatures w14:val="none"/>
        </w:rPr>
        <w:t xml:space="preserve">Der Stadtrat der Stadt Wittichenau billigt den Entwurf der Ergänzungssatzung </w:t>
      </w:r>
      <w:proofErr w:type="spellStart"/>
      <w:r w:rsidRPr="00C35F65">
        <w:rPr>
          <w:rFonts w:ascii="Arial Narrow" w:eastAsia="Calibri" w:hAnsi="Arial Narrow" w:cs="Times New Roman"/>
          <w:bCs/>
          <w:iCs/>
          <w:kern w:val="0"/>
          <w:sz w:val="24"/>
          <w:szCs w:val="24"/>
          <w14:ligatures w14:val="none"/>
        </w:rPr>
        <w:t>Saalau</w:t>
      </w:r>
      <w:proofErr w:type="spellEnd"/>
      <w:r w:rsidRPr="00C35F65">
        <w:rPr>
          <w:rFonts w:ascii="Arial Narrow" w:eastAsia="Calibri" w:hAnsi="Arial Narrow" w:cs="Times New Roman"/>
          <w:bCs/>
          <w:iCs/>
          <w:kern w:val="0"/>
          <w:sz w:val="24"/>
          <w:szCs w:val="24"/>
          <w14:ligatures w14:val="none"/>
        </w:rPr>
        <w:t xml:space="preserve"> - Nord im OT </w:t>
      </w:r>
      <w:proofErr w:type="spellStart"/>
      <w:r w:rsidRPr="00C35F65">
        <w:rPr>
          <w:rFonts w:ascii="Arial Narrow" w:eastAsia="Calibri" w:hAnsi="Arial Narrow" w:cs="Times New Roman"/>
          <w:bCs/>
          <w:iCs/>
          <w:kern w:val="0"/>
          <w:sz w:val="24"/>
          <w:szCs w:val="24"/>
          <w14:ligatures w14:val="none"/>
        </w:rPr>
        <w:t>Saalau</w:t>
      </w:r>
      <w:proofErr w:type="spellEnd"/>
      <w:r w:rsidRPr="00C35F65">
        <w:rPr>
          <w:rFonts w:ascii="Arial Narrow" w:eastAsia="Calibri" w:hAnsi="Arial Narrow" w:cs="Times New Roman"/>
          <w:bCs/>
          <w:iCs/>
          <w:kern w:val="0"/>
          <w:sz w:val="24"/>
          <w:szCs w:val="24"/>
          <w14:ligatures w14:val="none"/>
        </w:rPr>
        <w:t xml:space="preserve"> der Stadt Wittichenau entsprechend § 34 Abs. 4 Satz 1 Nr. 3 BauGB bestehend aus der Planzeichnung mit den textlichen Festsetzungen in der Fassung vom 05.02.2026 und der Begründung in der Fassung vom 05.02.2026.</w:t>
      </w:r>
    </w:p>
    <w:p w14:paraId="1EC35F7C" w14:textId="77777777" w:rsidR="00C35F65" w:rsidRPr="00C35F65" w:rsidRDefault="00C35F65" w:rsidP="00C35F65">
      <w:pPr>
        <w:contextualSpacing/>
        <w:jc w:val="both"/>
        <w:rPr>
          <w:rFonts w:ascii="Arial Narrow" w:eastAsia="Calibri" w:hAnsi="Arial Narrow" w:cs="Times New Roman"/>
          <w:bCs/>
          <w:iCs/>
          <w:kern w:val="0"/>
          <w:sz w:val="24"/>
          <w:szCs w:val="24"/>
          <w14:ligatures w14:val="none"/>
        </w:rPr>
      </w:pPr>
      <w:r w:rsidRPr="00C35F65">
        <w:rPr>
          <w:rFonts w:ascii="Arial Narrow" w:eastAsia="Calibri" w:hAnsi="Arial Narrow" w:cs="Times New Roman"/>
          <w:bCs/>
          <w:iCs/>
          <w:kern w:val="0"/>
          <w:sz w:val="24"/>
          <w:szCs w:val="24"/>
          <w14:ligatures w14:val="none"/>
        </w:rPr>
        <w:t>Der Stadtrat beschließt, den Entwurf der Ergänzungssatzung in der Fassung vom 05.02.2026 einschließlich aller Planteile mit Begründung gemäß § 3 Abs. 2 BauGB öffentlich auszulegen und die betroffenen Träger öffentlicher Belange gemäß § 4 Abs. 2 BauGB zu beteiligen sowie die Öffentlichkeit von der Offenlage in Kenntnis zu setzen. Der Öffentlichkeit ist Gelegenheit zur Erörterung zu geben.</w:t>
      </w:r>
    </w:p>
    <w:p w14:paraId="4832EA18" w14:textId="77777777" w:rsidR="00C35F65" w:rsidRPr="00C35F65" w:rsidRDefault="00C35F65" w:rsidP="00C35F65">
      <w:pPr>
        <w:contextualSpacing/>
        <w:jc w:val="both"/>
        <w:rPr>
          <w:rFonts w:ascii="Arial Narrow" w:eastAsia="Calibri" w:hAnsi="Arial Narrow" w:cs="Times New Roman"/>
          <w:bCs/>
          <w:iCs/>
          <w:kern w:val="0"/>
          <w:sz w:val="24"/>
          <w:szCs w:val="24"/>
          <w14:ligatures w14:val="none"/>
        </w:rPr>
      </w:pPr>
      <w:r w:rsidRPr="00C35F65">
        <w:rPr>
          <w:rFonts w:ascii="Arial Narrow" w:eastAsia="Calibri" w:hAnsi="Arial Narrow" w:cs="Times New Roman"/>
          <w:bCs/>
          <w:iCs/>
          <w:kern w:val="0"/>
          <w:sz w:val="24"/>
          <w:szCs w:val="24"/>
          <w14:ligatures w14:val="none"/>
        </w:rPr>
        <w:t>Der Bürgermeister wird beauftragt, Ort und Dauer der Auslegung öffentlich bekannt zu geben, an welchem der Entwurf der Ergänzungssatzung einschließlich aller Planteile mit Textlicher Begründung zur allgemeinen Information der Öffentlichkeit ausliegt.</w:t>
      </w:r>
    </w:p>
    <w:p w14:paraId="644B7096" w14:textId="77777777" w:rsidR="00C35F65" w:rsidRPr="00C35F65" w:rsidRDefault="00C35F65" w:rsidP="00C35F65">
      <w:pPr>
        <w:contextualSpacing/>
        <w:jc w:val="both"/>
        <w:rPr>
          <w:rFonts w:ascii="Arial Narrow" w:eastAsia="Calibri" w:hAnsi="Arial Narrow" w:cs="Times New Roman"/>
          <w:bCs/>
          <w:iCs/>
          <w:kern w:val="0"/>
          <w:sz w:val="24"/>
          <w:szCs w:val="24"/>
          <w14:ligatures w14:val="none"/>
        </w:rPr>
      </w:pPr>
      <w:r w:rsidRPr="00C35F65">
        <w:rPr>
          <w:rFonts w:ascii="Arial Narrow" w:eastAsia="Calibri" w:hAnsi="Arial Narrow" w:cs="Times New Roman"/>
          <w:bCs/>
          <w:iCs/>
          <w:kern w:val="0"/>
          <w:sz w:val="24"/>
          <w:szCs w:val="24"/>
          <w14:ligatures w14:val="none"/>
        </w:rPr>
        <w:t>Die Verwaltung wird beauftragt, den Entwurfs- und Offenlagebeschluss ortsüblich bekannt zu machen.</w:t>
      </w:r>
    </w:p>
    <w:p w14:paraId="05140860" w14:textId="77777777" w:rsidR="00C35F65" w:rsidRDefault="00C35F65" w:rsidP="00ED7614">
      <w:pPr>
        <w:suppressAutoHyphens/>
        <w:spacing w:line="100" w:lineRule="atLeast"/>
        <w:contextualSpacing/>
        <w:jc w:val="both"/>
        <w:rPr>
          <w:rFonts w:ascii="Arial Narrow" w:hAnsi="Arial Narrow"/>
          <w:i/>
        </w:rPr>
      </w:pPr>
    </w:p>
    <w:p w14:paraId="5190EE0B" w14:textId="77777777" w:rsidR="00154FD9" w:rsidRDefault="00154FD9" w:rsidP="00C35F65">
      <w:pPr>
        <w:suppressAutoHyphens/>
        <w:spacing w:line="100" w:lineRule="atLeast"/>
        <w:contextualSpacing/>
        <w:jc w:val="both"/>
        <w:rPr>
          <w:rFonts w:ascii="Arial Narrow" w:eastAsia="Calibri" w:hAnsi="Arial Narrow" w:cs="Times New Roman"/>
          <w:i/>
          <w:u w:val="single"/>
          <w:lang w:eastAsia="ar-SA"/>
        </w:rPr>
      </w:pPr>
    </w:p>
    <w:p w14:paraId="31E02F05" w14:textId="77777777" w:rsidR="00154FD9" w:rsidRDefault="00154FD9" w:rsidP="00C35F65">
      <w:pPr>
        <w:suppressAutoHyphens/>
        <w:spacing w:line="100" w:lineRule="atLeast"/>
        <w:contextualSpacing/>
        <w:jc w:val="both"/>
        <w:rPr>
          <w:rFonts w:ascii="Arial Narrow" w:eastAsia="Calibri" w:hAnsi="Arial Narrow" w:cs="Times New Roman"/>
          <w:i/>
          <w:u w:val="single"/>
          <w:lang w:eastAsia="ar-SA"/>
        </w:rPr>
      </w:pPr>
    </w:p>
    <w:p w14:paraId="7CFD0D6E" w14:textId="4008EFB1" w:rsidR="00C35F65" w:rsidRPr="00154FD9" w:rsidRDefault="00C35F65" w:rsidP="00C35F65">
      <w:pPr>
        <w:suppressAutoHyphens/>
        <w:spacing w:line="100" w:lineRule="atLeast"/>
        <w:contextualSpacing/>
        <w:jc w:val="both"/>
        <w:rPr>
          <w:rFonts w:ascii="Arial Narrow" w:eastAsia="Calibri" w:hAnsi="Arial Narrow" w:cs="Times New Roman"/>
          <w:i/>
          <w:u w:val="single"/>
          <w:lang w:eastAsia="ar-SA"/>
        </w:rPr>
      </w:pPr>
      <w:r w:rsidRPr="00154FD9">
        <w:rPr>
          <w:rFonts w:ascii="Arial Narrow" w:eastAsia="Calibri" w:hAnsi="Arial Narrow" w:cs="Times New Roman"/>
          <w:i/>
          <w:u w:val="single"/>
          <w:lang w:eastAsia="ar-SA"/>
        </w:rPr>
        <w:lastRenderedPageBreak/>
        <w:t>Erläuterungen:</w:t>
      </w:r>
    </w:p>
    <w:p w14:paraId="38F56911" w14:textId="56278482" w:rsidR="00C35F65" w:rsidRPr="00154FD9" w:rsidRDefault="00C35F65" w:rsidP="00C35F65">
      <w:pPr>
        <w:contextualSpacing/>
        <w:jc w:val="both"/>
        <w:rPr>
          <w:rFonts w:ascii="Arial Narrow" w:eastAsia="Calibri" w:hAnsi="Arial Narrow" w:cs="Times New Roman"/>
          <w:i/>
          <w:iCs/>
          <w:kern w:val="0"/>
          <w:lang w:eastAsia="ar-SA"/>
          <w14:ligatures w14:val="none"/>
        </w:rPr>
      </w:pPr>
      <w:r w:rsidRPr="00154FD9">
        <w:rPr>
          <w:rFonts w:ascii="Arial Narrow" w:hAnsi="Arial Narrow" w:cstheme="minorHAnsi"/>
          <w:i/>
          <w:iCs/>
        </w:rPr>
        <w:t xml:space="preserve">Mit Beschluss vom 08.10.2025 hat der Stadtrat der Stadt Wittichenau die Aufstellung der Ergänzungssatzung </w:t>
      </w:r>
      <w:proofErr w:type="spellStart"/>
      <w:r w:rsidRPr="00154FD9">
        <w:rPr>
          <w:rFonts w:ascii="Arial Narrow" w:hAnsi="Arial Narrow" w:cstheme="minorHAnsi"/>
          <w:i/>
          <w:iCs/>
        </w:rPr>
        <w:t>Saalau</w:t>
      </w:r>
      <w:proofErr w:type="spellEnd"/>
      <w:r w:rsidRPr="00154FD9">
        <w:rPr>
          <w:rFonts w:ascii="Arial Narrow" w:hAnsi="Arial Narrow" w:cstheme="minorHAnsi"/>
          <w:i/>
          <w:iCs/>
        </w:rPr>
        <w:t xml:space="preserve"> - Nord beschlossen. </w:t>
      </w:r>
      <w:r w:rsidRPr="00154FD9">
        <w:rPr>
          <w:rFonts w:ascii="Arial Narrow" w:eastAsia="Calibri" w:hAnsi="Arial Narrow" w:cs="Times New Roman"/>
          <w:i/>
          <w:iCs/>
          <w:kern w:val="0"/>
          <w:lang w:eastAsia="ar-SA"/>
          <w14:ligatures w14:val="none"/>
        </w:rPr>
        <w:t>Mit der geplanten Ergänzungssatzung sollen – angrenzend an bereits bestehende Wohnbebauung - die bisherigen Baulandflächen erweitert werden, um die Errichtung eines Einfamilienhauses und der erforderlichen Nebenanlagen zu ermöglichen. Die potentiellen Bauherren werden die Verfahrenskosten für die Erstellung der Ergänzungssatzung übernehmen.</w:t>
      </w:r>
    </w:p>
    <w:p w14:paraId="6FF84409" w14:textId="77777777" w:rsidR="00C35F65" w:rsidRPr="00C35F65" w:rsidRDefault="00C35F65" w:rsidP="00C35F65">
      <w:pPr>
        <w:contextualSpacing/>
        <w:jc w:val="both"/>
        <w:rPr>
          <w:rFonts w:ascii="Arial Narrow" w:hAnsi="Arial Narrow" w:cstheme="minorHAnsi"/>
          <w:i/>
          <w:iCs/>
        </w:rPr>
      </w:pPr>
      <w:r w:rsidRPr="00154FD9">
        <w:rPr>
          <w:rFonts w:ascii="Arial Narrow" w:hAnsi="Arial Narrow" w:cstheme="minorHAnsi"/>
          <w:i/>
          <w:iCs/>
        </w:rPr>
        <w:t>Auf Grundlage der bauplanungsrechtlichen Vorschriften sind als nächste Verfahrensschritte die Beteiligung der betroffenen Träger öffentlicher Belange und der Öffentlichkeit gemäß §§ 3 und 4 BauGB zur Prüfung des Satzungsentwurfes bzw. zur Einsichtnahme und die anschließende Abwägung der dazu eingereichten Stellungnahmen erforderlich.</w:t>
      </w:r>
    </w:p>
    <w:p w14:paraId="4CFC0FF5" w14:textId="77777777" w:rsidR="00C35F65" w:rsidRDefault="00C35F65" w:rsidP="00ED7614">
      <w:pPr>
        <w:suppressAutoHyphens/>
        <w:spacing w:line="100" w:lineRule="atLeast"/>
        <w:contextualSpacing/>
        <w:jc w:val="both"/>
        <w:rPr>
          <w:rFonts w:ascii="Arial Narrow" w:hAnsi="Arial Narrow"/>
          <w:i/>
        </w:rPr>
      </w:pPr>
    </w:p>
    <w:p w14:paraId="6D33DA20" w14:textId="77777777" w:rsidR="00C35F65" w:rsidRDefault="00C35F65" w:rsidP="00ED7614">
      <w:pPr>
        <w:suppressAutoHyphens/>
        <w:spacing w:line="100" w:lineRule="atLeast"/>
        <w:contextualSpacing/>
        <w:jc w:val="both"/>
        <w:rPr>
          <w:rFonts w:ascii="Arial Narrow" w:hAnsi="Arial Narrow"/>
          <w:i/>
        </w:rPr>
      </w:pPr>
    </w:p>
    <w:p w14:paraId="6D175938" w14:textId="77777777" w:rsidR="00C35F65" w:rsidRPr="00C35F65" w:rsidRDefault="00C35F65" w:rsidP="00C35F65">
      <w:pPr>
        <w:spacing w:after="0" w:line="240" w:lineRule="auto"/>
        <w:jc w:val="both"/>
        <w:rPr>
          <w:rFonts w:ascii="Arial Narrow" w:eastAsia="Times New Roman" w:hAnsi="Arial Narrow" w:cs="Times New Roman"/>
          <w:b/>
          <w:iCs/>
          <w:kern w:val="0"/>
          <w:sz w:val="24"/>
          <w:szCs w:val="24"/>
          <w:u w:val="single"/>
          <w:lang w:val="en-US" w:eastAsia="de-DE"/>
          <w14:ligatures w14:val="none"/>
        </w:rPr>
      </w:pPr>
      <w:proofErr w:type="spellStart"/>
      <w:r w:rsidRPr="00C35F65">
        <w:rPr>
          <w:rFonts w:ascii="Arial Narrow" w:eastAsia="Times New Roman" w:hAnsi="Arial Narrow" w:cs="Times New Roman"/>
          <w:b/>
          <w:iCs/>
          <w:kern w:val="0"/>
          <w:sz w:val="24"/>
          <w:szCs w:val="24"/>
          <w:u w:val="single"/>
          <w:lang w:val="en-US" w:eastAsia="de-DE"/>
          <w14:ligatures w14:val="none"/>
        </w:rPr>
        <w:t>Beschluss</w:t>
      </w:r>
      <w:proofErr w:type="spellEnd"/>
      <w:r w:rsidRPr="00C35F65">
        <w:rPr>
          <w:rFonts w:ascii="Arial Narrow" w:eastAsia="Times New Roman" w:hAnsi="Arial Narrow" w:cs="Times New Roman"/>
          <w:b/>
          <w:iCs/>
          <w:kern w:val="0"/>
          <w:sz w:val="24"/>
          <w:szCs w:val="24"/>
          <w:u w:val="single"/>
          <w:lang w:val="en-US" w:eastAsia="de-DE"/>
          <w14:ligatures w14:val="none"/>
        </w:rPr>
        <w:t>-Nr.  06 / 01 / 2026</w:t>
      </w:r>
    </w:p>
    <w:p w14:paraId="33C6B607" w14:textId="77777777" w:rsidR="00C35F65" w:rsidRPr="00C35F65" w:rsidRDefault="00C35F65" w:rsidP="00C35F65">
      <w:pPr>
        <w:contextualSpacing/>
        <w:jc w:val="both"/>
        <w:rPr>
          <w:rFonts w:ascii="Arial Narrow" w:eastAsia="Times New Roman" w:hAnsi="Arial Narrow" w:cs="Times New Roman"/>
          <w:iCs/>
          <w:kern w:val="0"/>
          <w:sz w:val="24"/>
          <w:szCs w:val="24"/>
          <w:lang w:eastAsia="de-DE"/>
          <w14:ligatures w14:val="none"/>
        </w:rPr>
      </w:pPr>
      <w:r w:rsidRPr="00C35F65">
        <w:rPr>
          <w:rFonts w:ascii="Arial Narrow" w:eastAsia="Times New Roman" w:hAnsi="Arial Narrow" w:cs="Times New Roman"/>
          <w:iCs/>
          <w:kern w:val="0"/>
          <w:sz w:val="24"/>
          <w:szCs w:val="24"/>
          <w:lang w:eastAsia="de-DE"/>
          <w14:ligatures w14:val="none"/>
        </w:rPr>
        <w:t xml:space="preserve">Der Stadtrat der Stadt Wittichenau beschließt, die örtliche und überörtliche Prüfung des Jahresabschlusses 2025 des Eigenbetriebs Abwasser nach § 32 </w:t>
      </w:r>
      <w:proofErr w:type="spellStart"/>
      <w:r w:rsidRPr="00C35F65">
        <w:rPr>
          <w:rFonts w:ascii="Arial Narrow" w:eastAsia="Times New Roman" w:hAnsi="Arial Narrow" w:cs="Times New Roman"/>
          <w:iCs/>
          <w:kern w:val="0"/>
          <w:sz w:val="24"/>
          <w:szCs w:val="24"/>
          <w:lang w:eastAsia="de-DE"/>
          <w14:ligatures w14:val="none"/>
        </w:rPr>
        <w:t>SächsEigBVO</w:t>
      </w:r>
      <w:proofErr w:type="spellEnd"/>
      <w:r w:rsidRPr="00C35F65">
        <w:rPr>
          <w:rFonts w:ascii="Arial Narrow" w:eastAsia="Times New Roman" w:hAnsi="Arial Narrow" w:cs="Times New Roman"/>
          <w:iCs/>
          <w:kern w:val="0"/>
          <w:sz w:val="24"/>
          <w:szCs w:val="24"/>
          <w:lang w:eastAsia="de-DE"/>
          <w14:ligatures w14:val="none"/>
        </w:rPr>
        <w:t xml:space="preserve"> an die Firma REVICON, Wirtschaftsprüfer und Steuerberater, Körnerstr. 57, 12169 Berlin, auf der Grundlage des Angebots vom 23.01.2026 zu vergeben.</w:t>
      </w:r>
    </w:p>
    <w:p w14:paraId="7DAFFB9E" w14:textId="77777777" w:rsidR="00C35F65" w:rsidRPr="00794A54" w:rsidRDefault="00C35F65" w:rsidP="00ED7614">
      <w:pPr>
        <w:suppressAutoHyphens/>
        <w:spacing w:line="100" w:lineRule="atLeast"/>
        <w:contextualSpacing/>
        <w:jc w:val="both"/>
        <w:rPr>
          <w:rFonts w:ascii="Arial Narrow" w:hAnsi="Arial Narrow"/>
          <w:i/>
        </w:rPr>
      </w:pPr>
    </w:p>
    <w:p w14:paraId="04A388AF" w14:textId="77777777" w:rsidR="00C35F65" w:rsidRPr="00154FD9" w:rsidRDefault="00C35F65" w:rsidP="00C35F65">
      <w:pPr>
        <w:suppressAutoHyphens/>
        <w:spacing w:line="100" w:lineRule="atLeast"/>
        <w:contextualSpacing/>
        <w:jc w:val="both"/>
        <w:rPr>
          <w:rFonts w:ascii="Arial Narrow" w:eastAsia="Calibri" w:hAnsi="Arial Narrow" w:cs="Times New Roman"/>
          <w:i/>
          <w:u w:val="single"/>
          <w:lang w:eastAsia="ar-SA"/>
        </w:rPr>
      </w:pPr>
      <w:r w:rsidRPr="00154FD9">
        <w:rPr>
          <w:rFonts w:ascii="Arial Narrow" w:eastAsia="Calibri" w:hAnsi="Arial Narrow" w:cs="Times New Roman"/>
          <w:i/>
          <w:u w:val="single"/>
          <w:lang w:eastAsia="ar-SA"/>
        </w:rPr>
        <w:t>Erläuterungen:</w:t>
      </w:r>
    </w:p>
    <w:p w14:paraId="46825A93" w14:textId="5182EBDF" w:rsidR="00ED7614" w:rsidRPr="00154FD9" w:rsidRDefault="00E37FB5" w:rsidP="00ED7614">
      <w:pPr>
        <w:spacing w:after="0" w:line="240" w:lineRule="auto"/>
        <w:contextualSpacing/>
        <w:jc w:val="both"/>
        <w:rPr>
          <w:rFonts w:ascii="Arial Narrow" w:hAnsi="Arial Narrow"/>
          <w:i/>
        </w:rPr>
      </w:pPr>
      <w:r w:rsidRPr="00154FD9">
        <w:rPr>
          <w:rFonts w:ascii="Arial Narrow" w:hAnsi="Arial Narrow"/>
          <w:i/>
        </w:rPr>
        <w:t>In der Sächsischen Eigenbetriebsverordnung ist u.a. geregelt, dass der Stadtrat für die Vergabe der Prüfungen der Jahresabschlüsse von Eigenbetrieben der Kommunen zuständig ist.</w:t>
      </w:r>
    </w:p>
    <w:p w14:paraId="570FC056" w14:textId="6B4124A5" w:rsidR="00E37FB5" w:rsidRDefault="00E37FB5" w:rsidP="00ED7614">
      <w:pPr>
        <w:spacing w:after="0" w:line="240" w:lineRule="auto"/>
        <w:contextualSpacing/>
        <w:jc w:val="both"/>
        <w:rPr>
          <w:rFonts w:ascii="Arial Narrow" w:hAnsi="Arial Narrow"/>
          <w:i/>
        </w:rPr>
      </w:pPr>
      <w:r w:rsidRPr="00154FD9">
        <w:rPr>
          <w:rFonts w:ascii="Arial Narrow" w:hAnsi="Arial Narrow"/>
          <w:i/>
        </w:rPr>
        <w:t>Für die in diesem Jahr anstehende Prüfung des Jahresabschlusses 2025 des Eigebetriebs Abwasser wurden drei Angebote eingeholt. Da die Firma REVICON das wirtschaftlichste Angebot abgegeben hat, hat der Stadtrat mit seinem obigen Beschluss den Prüfungsauftrag an diese Firma vergeben.</w:t>
      </w:r>
    </w:p>
    <w:p w14:paraId="14D3008E" w14:textId="77777777" w:rsidR="00C35F65" w:rsidRDefault="00C35F65" w:rsidP="00ED7614">
      <w:pPr>
        <w:spacing w:after="0" w:line="240" w:lineRule="auto"/>
        <w:contextualSpacing/>
        <w:jc w:val="both"/>
        <w:rPr>
          <w:rFonts w:ascii="Arial Narrow" w:hAnsi="Arial Narrow"/>
          <w:i/>
        </w:rPr>
      </w:pPr>
    </w:p>
    <w:p w14:paraId="25794246" w14:textId="77777777" w:rsidR="00C35F65" w:rsidRPr="00794A54" w:rsidRDefault="00C35F65" w:rsidP="00ED7614">
      <w:pPr>
        <w:spacing w:after="0" w:line="240" w:lineRule="auto"/>
        <w:contextualSpacing/>
        <w:jc w:val="both"/>
        <w:rPr>
          <w:rFonts w:ascii="Arial Narrow" w:hAnsi="Arial Narrow"/>
          <w:i/>
        </w:rPr>
      </w:pPr>
    </w:p>
    <w:p w14:paraId="11D9A42E" w14:textId="19061811" w:rsidR="00ED7614" w:rsidRPr="00794A54" w:rsidRDefault="00ED7614" w:rsidP="00ED7614">
      <w:pPr>
        <w:suppressAutoHyphens/>
        <w:spacing w:after="0" w:line="100" w:lineRule="atLeast"/>
        <w:rPr>
          <w:rFonts w:ascii="Arial Narrow" w:eastAsia="Calibri" w:hAnsi="Arial Narrow" w:cs="Times New Roman"/>
          <w:kern w:val="0"/>
          <w:sz w:val="24"/>
          <w:szCs w:val="24"/>
          <w:lang w:eastAsia="ar-SA"/>
          <w14:ligatures w14:val="none"/>
        </w:rPr>
      </w:pPr>
      <w:r w:rsidRPr="00E37FB5">
        <w:rPr>
          <w:rFonts w:ascii="Arial Narrow" w:eastAsia="Calibri" w:hAnsi="Arial Narrow" w:cs="Times New Roman"/>
          <w:kern w:val="0"/>
          <w:sz w:val="24"/>
          <w:szCs w:val="24"/>
          <w:lang w:eastAsia="ar-SA"/>
          <w14:ligatures w14:val="none"/>
        </w:rPr>
        <w:t xml:space="preserve">Wittichenau, </w:t>
      </w:r>
      <w:r w:rsidR="00E37FB5" w:rsidRPr="00E37FB5">
        <w:rPr>
          <w:rFonts w:ascii="Arial Narrow" w:eastAsia="Calibri" w:hAnsi="Arial Narrow" w:cs="Times New Roman"/>
          <w:kern w:val="0"/>
          <w:sz w:val="24"/>
          <w:szCs w:val="24"/>
          <w:lang w:eastAsia="ar-SA"/>
          <w14:ligatures w14:val="none"/>
        </w:rPr>
        <w:t>12.02</w:t>
      </w:r>
      <w:r w:rsidR="00A001B2" w:rsidRPr="00E37FB5">
        <w:rPr>
          <w:rFonts w:ascii="Arial Narrow" w:eastAsia="Calibri" w:hAnsi="Arial Narrow" w:cs="Times New Roman"/>
          <w:kern w:val="0"/>
          <w:sz w:val="24"/>
          <w:szCs w:val="24"/>
          <w:lang w:eastAsia="ar-SA"/>
          <w14:ligatures w14:val="none"/>
        </w:rPr>
        <w:t>.2026</w:t>
      </w:r>
    </w:p>
    <w:p w14:paraId="657C25F7" w14:textId="77777777" w:rsidR="00ED7614" w:rsidRPr="00794A54" w:rsidRDefault="00ED7614" w:rsidP="00ED7614">
      <w:pPr>
        <w:suppressAutoHyphens/>
        <w:spacing w:after="0" w:line="100" w:lineRule="atLeast"/>
        <w:rPr>
          <w:rFonts w:ascii="Arial Narrow" w:eastAsia="Calibri" w:hAnsi="Arial Narrow" w:cs="Times New Roman"/>
          <w:kern w:val="0"/>
          <w:sz w:val="24"/>
          <w:szCs w:val="24"/>
          <w:lang w:eastAsia="ar-SA"/>
          <w14:ligatures w14:val="none"/>
        </w:rPr>
      </w:pPr>
    </w:p>
    <w:p w14:paraId="66C969D7" w14:textId="77777777" w:rsidR="00ED7614" w:rsidRDefault="00ED7614" w:rsidP="00ED7614">
      <w:pPr>
        <w:suppressAutoHyphens/>
        <w:spacing w:after="0" w:line="100" w:lineRule="atLeast"/>
        <w:rPr>
          <w:rFonts w:ascii="Arial Narrow" w:eastAsia="Calibri" w:hAnsi="Arial Narrow" w:cs="Times New Roman"/>
          <w:kern w:val="0"/>
          <w:sz w:val="24"/>
          <w:szCs w:val="24"/>
          <w:lang w:eastAsia="ar-SA"/>
          <w14:ligatures w14:val="none"/>
        </w:rPr>
      </w:pPr>
    </w:p>
    <w:p w14:paraId="57EE59A3" w14:textId="77777777" w:rsidR="00ED7614" w:rsidRPr="00794A54" w:rsidRDefault="00ED7614" w:rsidP="00ED7614">
      <w:pPr>
        <w:suppressAutoHyphens/>
        <w:spacing w:after="0" w:line="100" w:lineRule="atLeast"/>
        <w:rPr>
          <w:rFonts w:ascii="Arial Narrow" w:eastAsia="Calibri" w:hAnsi="Arial Narrow" w:cs="Times New Roman"/>
          <w:kern w:val="0"/>
          <w:sz w:val="24"/>
          <w:szCs w:val="24"/>
          <w:lang w:eastAsia="ar-SA"/>
          <w14:ligatures w14:val="none"/>
        </w:rPr>
      </w:pPr>
    </w:p>
    <w:p w14:paraId="6855DE42" w14:textId="77777777" w:rsidR="00ED7614" w:rsidRPr="00794A54" w:rsidRDefault="00ED7614" w:rsidP="00ED7614">
      <w:pPr>
        <w:suppressAutoHyphens/>
        <w:spacing w:after="0" w:line="100" w:lineRule="atLeast"/>
        <w:rPr>
          <w:rFonts w:ascii="Arial Narrow" w:eastAsia="Calibri" w:hAnsi="Arial Narrow" w:cs="Times New Roman"/>
          <w:kern w:val="0"/>
          <w:sz w:val="24"/>
          <w:szCs w:val="24"/>
          <w:lang w:eastAsia="ar-SA"/>
          <w14:ligatures w14:val="none"/>
        </w:rPr>
      </w:pPr>
      <w:r w:rsidRPr="00794A54">
        <w:rPr>
          <w:rFonts w:ascii="Arial Narrow" w:eastAsia="Calibri" w:hAnsi="Arial Narrow" w:cs="Times New Roman"/>
          <w:kern w:val="0"/>
          <w:sz w:val="24"/>
          <w:szCs w:val="24"/>
          <w:lang w:eastAsia="ar-SA"/>
          <w14:ligatures w14:val="none"/>
        </w:rPr>
        <w:t>Markus Posch</w:t>
      </w:r>
    </w:p>
    <w:p w14:paraId="2BDFD246" w14:textId="0DC3E2BB" w:rsidR="008770AB" w:rsidRDefault="00ED7614" w:rsidP="00ED7614">
      <w:pPr>
        <w:suppressAutoHyphens/>
        <w:spacing w:after="0" w:line="100" w:lineRule="atLeast"/>
      </w:pPr>
      <w:r w:rsidRPr="00794A54">
        <w:rPr>
          <w:rFonts w:ascii="Arial Narrow" w:eastAsia="Calibri" w:hAnsi="Arial Narrow" w:cs="Times New Roman"/>
          <w:kern w:val="0"/>
          <w:sz w:val="24"/>
          <w:szCs w:val="24"/>
          <w:lang w:eastAsia="ar-SA"/>
          <w14:ligatures w14:val="none"/>
        </w:rPr>
        <w:t>Bürgermeister</w:t>
      </w:r>
      <w:bookmarkEnd w:id="0"/>
      <w:bookmarkEnd w:id="1"/>
    </w:p>
    <w:sectPr w:rsidR="008770AB" w:rsidSect="00ED761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C87"/>
    <w:multiLevelType w:val="hybridMultilevel"/>
    <w:tmpl w:val="9E68A9D8"/>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9085A4A"/>
    <w:multiLevelType w:val="hybridMultilevel"/>
    <w:tmpl w:val="A6A483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315B35"/>
    <w:multiLevelType w:val="hybridMultilevel"/>
    <w:tmpl w:val="DB52552E"/>
    <w:lvl w:ilvl="0" w:tplc="5636EEB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77335532">
    <w:abstractNumId w:val="0"/>
  </w:num>
  <w:num w:numId="2" w16cid:durableId="11415204">
    <w:abstractNumId w:val="1"/>
  </w:num>
  <w:num w:numId="3" w16cid:durableId="1938442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14"/>
    <w:rsid w:val="00136C35"/>
    <w:rsid w:val="00154FD9"/>
    <w:rsid w:val="00197E0E"/>
    <w:rsid w:val="002B2BBD"/>
    <w:rsid w:val="003A70DB"/>
    <w:rsid w:val="0050693E"/>
    <w:rsid w:val="00743377"/>
    <w:rsid w:val="00775FD3"/>
    <w:rsid w:val="008770AB"/>
    <w:rsid w:val="009F53DC"/>
    <w:rsid w:val="00A001B2"/>
    <w:rsid w:val="00A45EED"/>
    <w:rsid w:val="00B31754"/>
    <w:rsid w:val="00B418B8"/>
    <w:rsid w:val="00BD24DF"/>
    <w:rsid w:val="00C35F65"/>
    <w:rsid w:val="00CD29D3"/>
    <w:rsid w:val="00E37FB5"/>
    <w:rsid w:val="00ED7614"/>
    <w:rsid w:val="00FA14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4D32"/>
  <w15:chartTrackingRefBased/>
  <w15:docId w15:val="{AF5A2158-44C3-463F-8D1E-2662C5B0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7614"/>
  </w:style>
  <w:style w:type="paragraph" w:styleId="berschrift1">
    <w:name w:val="heading 1"/>
    <w:basedOn w:val="Standard"/>
    <w:next w:val="Standard"/>
    <w:link w:val="berschrift1Zchn"/>
    <w:uiPriority w:val="9"/>
    <w:qFormat/>
    <w:rsid w:val="00ED76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ED76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ED7614"/>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ED7614"/>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D7614"/>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ED761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D761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D761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D761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7614"/>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ED7614"/>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ED7614"/>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ED7614"/>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ED7614"/>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ED76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D76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D76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D7614"/>
    <w:rPr>
      <w:rFonts w:eastAsiaTheme="majorEastAsia" w:cstheme="majorBidi"/>
      <w:color w:val="272727" w:themeColor="text1" w:themeTint="D8"/>
    </w:rPr>
  </w:style>
  <w:style w:type="paragraph" w:styleId="Titel">
    <w:name w:val="Title"/>
    <w:basedOn w:val="Standard"/>
    <w:next w:val="Standard"/>
    <w:link w:val="TitelZchn"/>
    <w:uiPriority w:val="10"/>
    <w:qFormat/>
    <w:rsid w:val="00ED7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76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D76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D76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D76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D7614"/>
    <w:rPr>
      <w:i/>
      <w:iCs/>
      <w:color w:val="404040" w:themeColor="text1" w:themeTint="BF"/>
    </w:rPr>
  </w:style>
  <w:style w:type="paragraph" w:styleId="Listenabsatz">
    <w:name w:val="List Paragraph"/>
    <w:basedOn w:val="Standard"/>
    <w:uiPriority w:val="34"/>
    <w:qFormat/>
    <w:rsid w:val="00ED7614"/>
    <w:pPr>
      <w:ind w:left="720"/>
      <w:contextualSpacing/>
    </w:pPr>
  </w:style>
  <w:style w:type="character" w:styleId="IntensiveHervorhebung">
    <w:name w:val="Intense Emphasis"/>
    <w:basedOn w:val="Absatz-Standardschriftart"/>
    <w:uiPriority w:val="21"/>
    <w:qFormat/>
    <w:rsid w:val="00ED7614"/>
    <w:rPr>
      <w:i/>
      <w:iCs/>
      <w:color w:val="2E74B5" w:themeColor="accent1" w:themeShade="BF"/>
    </w:rPr>
  </w:style>
  <w:style w:type="paragraph" w:styleId="IntensivesZitat">
    <w:name w:val="Intense Quote"/>
    <w:basedOn w:val="Standard"/>
    <w:next w:val="Standard"/>
    <w:link w:val="IntensivesZitatZchn"/>
    <w:uiPriority w:val="30"/>
    <w:qFormat/>
    <w:rsid w:val="00ED76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ED7614"/>
    <w:rPr>
      <w:i/>
      <w:iCs/>
      <w:color w:val="2E74B5" w:themeColor="accent1" w:themeShade="BF"/>
    </w:rPr>
  </w:style>
  <w:style w:type="character" w:styleId="IntensiverVerweis">
    <w:name w:val="Intense Reference"/>
    <w:basedOn w:val="Absatz-Standardschriftart"/>
    <w:uiPriority w:val="32"/>
    <w:qFormat/>
    <w:rsid w:val="00ED7614"/>
    <w:rPr>
      <w:b/>
      <w:bCs/>
      <w:smallCaps/>
      <w:color w:val="2E74B5" w:themeColor="accent1" w:themeShade="BF"/>
      <w:spacing w:val="5"/>
    </w:rPr>
  </w:style>
  <w:style w:type="paragraph" w:customStyle="1" w:styleId="Default">
    <w:name w:val="Default"/>
    <w:rsid w:val="00ED7614"/>
    <w:pPr>
      <w:autoSpaceDE w:val="0"/>
      <w:autoSpaceDN w:val="0"/>
      <w:adjustRightInd w:val="0"/>
      <w:spacing w:after="0" w:line="240" w:lineRule="auto"/>
    </w:pPr>
    <w:rPr>
      <w:rFonts w:ascii="Arial" w:eastAsia="Times New Roman" w:hAnsi="Arial" w:cs="Arial"/>
      <w:color w:val="000000"/>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2E2CD-1D45-4124-B483-EA1091E1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9435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svw04</dc:creator>
  <cp:keywords/>
  <dc:description/>
  <cp:lastModifiedBy>svw04</cp:lastModifiedBy>
  <cp:revision>4</cp:revision>
  <cp:lastPrinted>2026-02-12T14:03:00Z</cp:lastPrinted>
  <dcterms:created xsi:type="dcterms:W3CDTF">2026-02-12T14:06:00Z</dcterms:created>
  <dcterms:modified xsi:type="dcterms:W3CDTF">2026-02-12T14:12:00Z</dcterms:modified>
</cp:coreProperties>
</file>