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5D8F" w14:textId="77777777" w:rsidR="00003DC6" w:rsidRPr="00C774C2" w:rsidRDefault="00003DC6" w:rsidP="00003DC6">
      <w:pPr>
        <w:pBdr>
          <w:bottom w:val="single" w:sz="4" w:space="1" w:color="000000"/>
        </w:pBdr>
        <w:suppressAutoHyphens/>
        <w:spacing w:line="100" w:lineRule="atLeast"/>
        <w:contextualSpacing/>
        <w:rPr>
          <w:rFonts w:ascii="Arial Narrow" w:eastAsia="Calibri" w:hAnsi="Arial Narrow" w:cs="Times New Roman"/>
          <w:b/>
          <w:kern w:val="0"/>
          <w:sz w:val="32"/>
          <w:szCs w:val="32"/>
          <w:lang w:eastAsia="ar-SA"/>
          <w14:ligatures w14:val="none"/>
        </w:rPr>
      </w:pPr>
      <w:bookmarkStart w:id="0" w:name="_Hlk135652962"/>
      <w:bookmarkStart w:id="1" w:name="_Hlk185234565"/>
      <w:r w:rsidRPr="00C774C2">
        <w:rPr>
          <w:rFonts w:ascii="Arial Narrow" w:eastAsia="Calibri" w:hAnsi="Arial Narrow" w:cs="Times New Roman"/>
          <w:b/>
          <w:kern w:val="0"/>
          <w:sz w:val="44"/>
          <w:szCs w:val="44"/>
          <w:lang w:eastAsia="ar-SA"/>
          <w14:ligatures w14:val="none"/>
        </w:rPr>
        <w:t xml:space="preserve">Öffentliche Bekanntmachung </w:t>
      </w:r>
    </w:p>
    <w:p w14:paraId="706DFD4E" w14:textId="56BFBEDC" w:rsidR="00003DC6" w:rsidRPr="00C774C2" w:rsidRDefault="00003DC6" w:rsidP="00003DC6">
      <w:pPr>
        <w:pBdr>
          <w:bottom w:val="single" w:sz="4" w:space="1" w:color="000000"/>
        </w:pBdr>
        <w:suppressAutoHyphens/>
        <w:spacing w:line="100" w:lineRule="atLeast"/>
        <w:contextualSpacing/>
        <w:rPr>
          <w:rFonts w:ascii="Calibri" w:eastAsia="Calibri" w:hAnsi="Calibri" w:cs="Times New Roman"/>
          <w:kern w:val="0"/>
          <w:sz w:val="24"/>
          <w:szCs w:val="24"/>
          <w:lang w:eastAsia="ar-SA"/>
          <w14:ligatures w14:val="none"/>
        </w:rPr>
      </w:pPr>
      <w:r w:rsidRPr="00C774C2">
        <w:rPr>
          <w:rFonts w:ascii="Arial Narrow" w:eastAsia="Calibri" w:hAnsi="Arial Narrow" w:cs="Times New Roman"/>
          <w:b/>
          <w:kern w:val="0"/>
          <w:sz w:val="32"/>
          <w:szCs w:val="32"/>
          <w:lang w:eastAsia="ar-SA"/>
          <w14:ligatures w14:val="none"/>
        </w:rPr>
        <w:t>der Beschlüsse aus der Stadtratssitzung Nr. 0</w:t>
      </w:r>
      <w:r w:rsidR="000F426F" w:rsidRPr="00C774C2">
        <w:rPr>
          <w:rFonts w:ascii="Arial Narrow" w:eastAsia="Calibri" w:hAnsi="Arial Narrow" w:cs="Times New Roman"/>
          <w:b/>
          <w:kern w:val="0"/>
          <w:sz w:val="32"/>
          <w:szCs w:val="32"/>
          <w:lang w:eastAsia="ar-SA"/>
          <w14:ligatures w14:val="none"/>
        </w:rPr>
        <w:t>4</w:t>
      </w:r>
      <w:r w:rsidRPr="00C774C2">
        <w:rPr>
          <w:rFonts w:ascii="Arial Narrow" w:eastAsia="Calibri" w:hAnsi="Arial Narrow" w:cs="Times New Roman"/>
          <w:b/>
          <w:kern w:val="0"/>
          <w:sz w:val="32"/>
          <w:szCs w:val="32"/>
          <w:lang w:eastAsia="ar-SA"/>
          <w14:ligatures w14:val="none"/>
        </w:rPr>
        <w:t xml:space="preserve"> / 2025 vom 1</w:t>
      </w:r>
      <w:r w:rsidR="000F426F" w:rsidRPr="00C774C2">
        <w:rPr>
          <w:rFonts w:ascii="Arial Narrow" w:eastAsia="Calibri" w:hAnsi="Arial Narrow" w:cs="Times New Roman"/>
          <w:b/>
          <w:kern w:val="0"/>
          <w:sz w:val="32"/>
          <w:szCs w:val="32"/>
          <w:lang w:eastAsia="ar-SA"/>
          <w14:ligatures w14:val="none"/>
        </w:rPr>
        <w:t>3.08</w:t>
      </w:r>
      <w:r w:rsidRPr="00C774C2">
        <w:rPr>
          <w:rFonts w:ascii="Arial Narrow" w:eastAsia="Calibri" w:hAnsi="Arial Narrow" w:cs="Times New Roman"/>
          <w:b/>
          <w:kern w:val="0"/>
          <w:sz w:val="32"/>
          <w:szCs w:val="32"/>
          <w:lang w:eastAsia="ar-SA"/>
          <w14:ligatures w14:val="none"/>
        </w:rPr>
        <w:t xml:space="preserve">.2025 mit Erläuterungen </w:t>
      </w:r>
    </w:p>
    <w:p w14:paraId="469B88AE" w14:textId="77777777" w:rsidR="00003DC6" w:rsidRPr="00C774C2" w:rsidRDefault="00003DC6" w:rsidP="00003DC6">
      <w:pPr>
        <w:suppressAutoHyphens/>
        <w:spacing w:line="100" w:lineRule="atLeast"/>
        <w:rPr>
          <w:rFonts w:ascii="Calibri" w:eastAsia="Calibri" w:hAnsi="Calibri" w:cs="Times New Roman"/>
          <w:kern w:val="0"/>
          <w:sz w:val="24"/>
          <w:szCs w:val="24"/>
          <w:lang w:eastAsia="ar-SA"/>
          <w14:ligatures w14:val="none"/>
        </w:rPr>
      </w:pPr>
    </w:p>
    <w:p w14:paraId="7A73AA90" w14:textId="34B2D081"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01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3963FA3F" w14:textId="77777777" w:rsidR="000F426F" w:rsidRPr="00C774C2" w:rsidRDefault="000F426F" w:rsidP="000F426F">
      <w:pPr>
        <w:tabs>
          <w:tab w:val="left" w:pos="284"/>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Der Jahresabschluss 2017 der Stadt Wittichenau gemäß § 88 Absatz 1 und 2 </w:t>
      </w:r>
      <w:proofErr w:type="spellStart"/>
      <w:r w:rsidRPr="00C774C2">
        <w:rPr>
          <w:rFonts w:ascii="Arial Narrow" w:eastAsia="Times New Roman" w:hAnsi="Arial Narrow" w:cstheme="minorHAnsi"/>
          <w:sz w:val="24"/>
          <w:szCs w:val="24"/>
          <w:lang w:eastAsia="de-DE"/>
        </w:rPr>
        <w:t>SächsGemO</w:t>
      </w:r>
      <w:proofErr w:type="spellEnd"/>
      <w:r w:rsidRPr="00C774C2">
        <w:rPr>
          <w:rFonts w:ascii="Arial Narrow" w:eastAsia="Times New Roman" w:hAnsi="Arial Narrow" w:cstheme="minorHAnsi"/>
          <w:sz w:val="24"/>
          <w:szCs w:val="24"/>
          <w:lang w:eastAsia="de-DE"/>
        </w:rPr>
        <w:t xml:space="preserve"> wird nach der Durchführung der örtlichen Prüfung mit Datum des Prüfberichts vom 29. April 2025 wie folgt festgestellt: </w:t>
      </w:r>
    </w:p>
    <w:p w14:paraId="4B840CC4" w14:textId="77777777" w:rsidR="000F426F" w:rsidRPr="00C774C2" w:rsidRDefault="000F426F" w:rsidP="000F426F">
      <w:pPr>
        <w:tabs>
          <w:tab w:val="left" w:pos="284"/>
        </w:tabs>
        <w:spacing w:after="0" w:line="240" w:lineRule="auto"/>
        <w:contextualSpacing/>
        <w:jc w:val="both"/>
        <w:rPr>
          <w:rFonts w:ascii="Arial Narrow" w:eastAsia="Times New Roman" w:hAnsi="Arial Narrow" w:cstheme="minorHAnsi"/>
          <w:sz w:val="24"/>
          <w:szCs w:val="24"/>
          <w:lang w:eastAsia="de-DE"/>
        </w:rPr>
      </w:pPr>
    </w:p>
    <w:p w14:paraId="23EA98CA" w14:textId="77777777" w:rsidR="000F426F" w:rsidRPr="00C774C2" w:rsidRDefault="000F426F" w:rsidP="000F426F">
      <w:pPr>
        <w:numPr>
          <w:ilvl w:val="0"/>
          <w:numId w:val="2"/>
        </w:num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Ergebnisrechnung (Anlage)</w:t>
      </w:r>
    </w:p>
    <w:p w14:paraId="79F45233"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2D02600C"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bookmarkStart w:id="2" w:name="_Hlk142468758"/>
      <w:r w:rsidRPr="00C774C2">
        <w:rPr>
          <w:rFonts w:ascii="Arial Narrow" w:eastAsia="Times New Roman" w:hAnsi="Arial Narrow" w:cstheme="minorHAnsi"/>
          <w:sz w:val="24"/>
          <w:szCs w:val="24"/>
          <w:lang w:eastAsia="de-DE"/>
        </w:rPr>
        <w:t>Ordentliche Erträge</w:t>
      </w:r>
      <w:r w:rsidRPr="00C774C2">
        <w:rPr>
          <w:rFonts w:ascii="Arial Narrow" w:eastAsia="Times New Roman" w:hAnsi="Arial Narrow" w:cstheme="minorHAnsi"/>
          <w:sz w:val="24"/>
          <w:szCs w:val="24"/>
          <w:lang w:eastAsia="de-DE"/>
        </w:rPr>
        <w:tab/>
        <w:t>8.310.470,73 EUR</w:t>
      </w:r>
    </w:p>
    <w:p w14:paraId="4F2B6707"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Ordentliche Aufwendungen</w:t>
      </w:r>
      <w:r w:rsidRPr="00C774C2">
        <w:rPr>
          <w:rFonts w:ascii="Arial Narrow" w:eastAsia="Times New Roman" w:hAnsi="Arial Narrow" w:cstheme="minorHAnsi"/>
          <w:sz w:val="24"/>
          <w:szCs w:val="24"/>
          <w:lang w:eastAsia="de-DE"/>
        </w:rPr>
        <w:tab/>
        <w:t>7.893.829,61 EUR</w:t>
      </w:r>
      <w:r w:rsidRPr="00C774C2">
        <w:rPr>
          <w:rFonts w:ascii="Arial Narrow" w:eastAsia="Times New Roman" w:hAnsi="Arial Narrow" w:cstheme="minorHAnsi"/>
          <w:sz w:val="24"/>
          <w:szCs w:val="24"/>
          <w:lang w:eastAsia="de-DE"/>
        </w:rPr>
        <w:tab/>
      </w:r>
    </w:p>
    <w:p w14:paraId="4F1C5A00" w14:textId="77777777" w:rsidR="000F426F" w:rsidRPr="00C774C2" w:rsidRDefault="000F426F" w:rsidP="000F426F">
      <w:pPr>
        <w:pBdr>
          <w:top w:val="single" w:sz="4" w:space="0" w:color="auto"/>
          <w:bottom w:val="double" w:sz="4" w:space="1" w:color="auto"/>
        </w:pBdr>
        <w:tabs>
          <w:tab w:val="left" w:pos="1134"/>
          <w:tab w:val="left" w:pos="1701"/>
          <w:tab w:val="right" w:pos="7655"/>
        </w:tabs>
        <w:spacing w:after="0" w:line="240" w:lineRule="auto"/>
        <w:ind w:left="1134"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Ordentliches Ergebnis</w:t>
      </w:r>
      <w:r w:rsidRPr="00C774C2">
        <w:rPr>
          <w:rFonts w:ascii="Arial Narrow" w:eastAsia="Times New Roman" w:hAnsi="Arial Narrow" w:cstheme="minorHAnsi"/>
          <w:sz w:val="24"/>
          <w:szCs w:val="24"/>
          <w:lang w:eastAsia="de-DE"/>
        </w:rPr>
        <w:tab/>
        <w:t>416.641,12 EUR</w:t>
      </w:r>
    </w:p>
    <w:bookmarkEnd w:id="2"/>
    <w:p w14:paraId="0DB57F68"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Außerordentliche Erträge</w:t>
      </w:r>
      <w:r w:rsidRPr="00C774C2">
        <w:rPr>
          <w:rFonts w:ascii="Arial Narrow" w:eastAsia="Times New Roman" w:hAnsi="Arial Narrow" w:cstheme="minorHAnsi"/>
          <w:sz w:val="24"/>
          <w:szCs w:val="24"/>
          <w:lang w:eastAsia="de-DE"/>
        </w:rPr>
        <w:tab/>
        <w:t>347.601,99 EUR</w:t>
      </w:r>
    </w:p>
    <w:p w14:paraId="06E55E40"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Außerordentliche Aufwendungen</w:t>
      </w:r>
      <w:r w:rsidRPr="00C774C2">
        <w:rPr>
          <w:rFonts w:ascii="Arial Narrow" w:eastAsia="Times New Roman" w:hAnsi="Arial Narrow" w:cstheme="minorHAnsi"/>
          <w:sz w:val="24"/>
          <w:szCs w:val="24"/>
          <w:lang w:eastAsia="de-DE"/>
        </w:rPr>
        <w:tab/>
        <w:t>38.445,18 EUR</w:t>
      </w:r>
      <w:r w:rsidRPr="00C774C2">
        <w:rPr>
          <w:rFonts w:ascii="Arial Narrow" w:eastAsia="Times New Roman" w:hAnsi="Arial Narrow" w:cstheme="minorHAnsi"/>
          <w:sz w:val="24"/>
          <w:szCs w:val="24"/>
          <w:lang w:eastAsia="de-DE"/>
        </w:rPr>
        <w:tab/>
      </w:r>
    </w:p>
    <w:p w14:paraId="285D69D6" w14:textId="77777777" w:rsidR="000F426F" w:rsidRPr="00C774C2" w:rsidRDefault="000F426F" w:rsidP="000F426F">
      <w:pPr>
        <w:pBdr>
          <w:top w:val="single" w:sz="4" w:space="0" w:color="auto"/>
          <w:bottom w:val="double" w:sz="4" w:space="1" w:color="auto"/>
        </w:pBdr>
        <w:tabs>
          <w:tab w:val="left" w:pos="1134"/>
          <w:tab w:val="left" w:pos="1701"/>
          <w:tab w:val="right" w:pos="7655"/>
        </w:tabs>
        <w:spacing w:after="0" w:line="240" w:lineRule="auto"/>
        <w:ind w:left="1134"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Sonderergebnis</w:t>
      </w:r>
      <w:r w:rsidRPr="00C774C2">
        <w:rPr>
          <w:rFonts w:ascii="Arial Narrow" w:eastAsia="Times New Roman" w:hAnsi="Arial Narrow" w:cstheme="minorHAnsi"/>
          <w:sz w:val="24"/>
          <w:szCs w:val="24"/>
          <w:lang w:eastAsia="de-DE"/>
        </w:rPr>
        <w:tab/>
        <w:t>309.156,81 EUR</w:t>
      </w:r>
    </w:p>
    <w:p w14:paraId="22B1ED24"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Gesamtergebnis</w:t>
      </w:r>
      <w:r w:rsidRPr="00C774C2">
        <w:rPr>
          <w:rFonts w:ascii="Arial Narrow" w:eastAsia="Times New Roman" w:hAnsi="Arial Narrow" w:cstheme="minorHAnsi"/>
          <w:sz w:val="24"/>
          <w:szCs w:val="24"/>
          <w:lang w:eastAsia="de-DE"/>
        </w:rPr>
        <w:tab/>
        <w:t>725.797,93 EUR</w:t>
      </w:r>
    </w:p>
    <w:p w14:paraId="1EE352F9" w14:textId="4D171369"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w:t>
      </w:r>
    </w:p>
    <w:p w14:paraId="11F2EC95" w14:textId="77777777" w:rsidR="000F426F" w:rsidRPr="00C774C2" w:rsidRDefault="000F426F" w:rsidP="000F426F">
      <w:pPr>
        <w:tabs>
          <w:tab w:val="left" w:pos="1134"/>
          <w:tab w:val="left" w:pos="1701"/>
          <w:tab w:val="right" w:pos="7655"/>
        </w:tabs>
        <w:spacing w:after="0" w:line="240" w:lineRule="auto"/>
        <w:ind w:right="1134"/>
        <w:contextualSpacing/>
        <w:jc w:val="both"/>
        <w:rPr>
          <w:rFonts w:ascii="Arial Narrow" w:eastAsia="Times New Roman" w:hAnsi="Arial Narrow" w:cstheme="minorHAnsi"/>
          <w:sz w:val="24"/>
          <w:szCs w:val="24"/>
          <w:lang w:eastAsia="de-DE"/>
        </w:rPr>
      </w:pPr>
    </w:p>
    <w:p w14:paraId="2F6AC69A" w14:textId="77777777" w:rsidR="000F426F" w:rsidRPr="00C774C2" w:rsidRDefault="000F426F" w:rsidP="000F426F">
      <w:pPr>
        <w:numPr>
          <w:ilvl w:val="0"/>
          <w:numId w:val="2"/>
        </w:num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Finanzrechnung (Anlage)</w:t>
      </w:r>
    </w:p>
    <w:p w14:paraId="2E51DDCF"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15B71C34" w14:textId="77777777" w:rsidR="000F426F" w:rsidRPr="00C774C2" w:rsidRDefault="000F426F" w:rsidP="000F426F">
      <w:pPr>
        <w:tabs>
          <w:tab w:val="left" w:pos="1134"/>
          <w:tab w:val="right" w:pos="7655"/>
        </w:tabs>
        <w:spacing w:after="0" w:line="240" w:lineRule="auto"/>
        <w:ind w:left="99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Einzahlungen </w:t>
      </w:r>
      <w:proofErr w:type="gramStart"/>
      <w:r w:rsidRPr="00C774C2">
        <w:rPr>
          <w:rFonts w:ascii="Arial Narrow" w:eastAsia="Times New Roman" w:hAnsi="Arial Narrow" w:cstheme="minorHAnsi"/>
          <w:sz w:val="24"/>
          <w:szCs w:val="24"/>
          <w:lang w:eastAsia="de-DE"/>
        </w:rPr>
        <w:t>aus laufender</w:t>
      </w:r>
      <w:proofErr w:type="gramEnd"/>
      <w:r w:rsidRPr="00C774C2">
        <w:rPr>
          <w:rFonts w:ascii="Arial Narrow" w:eastAsia="Times New Roman" w:hAnsi="Arial Narrow" w:cstheme="minorHAnsi"/>
          <w:sz w:val="24"/>
          <w:szCs w:val="24"/>
          <w:lang w:eastAsia="de-DE"/>
        </w:rPr>
        <w:t xml:space="preserve"> Verwaltungstätigkeit</w:t>
      </w:r>
      <w:r w:rsidRPr="00C774C2">
        <w:rPr>
          <w:rFonts w:ascii="Arial Narrow" w:eastAsia="Times New Roman" w:hAnsi="Arial Narrow" w:cstheme="minorHAnsi"/>
          <w:sz w:val="24"/>
          <w:szCs w:val="24"/>
          <w:lang w:eastAsia="de-DE"/>
        </w:rPr>
        <w:tab/>
        <w:t xml:space="preserve">     7.884.097,52 EUR</w:t>
      </w:r>
    </w:p>
    <w:p w14:paraId="2CC1ADBD" w14:textId="77777777" w:rsidR="000F426F" w:rsidRPr="00C774C2" w:rsidRDefault="000F426F" w:rsidP="000F426F">
      <w:pPr>
        <w:tabs>
          <w:tab w:val="left" w:pos="1134"/>
          <w:tab w:val="right" w:pos="7655"/>
        </w:tabs>
        <w:spacing w:after="0" w:line="240" w:lineRule="auto"/>
        <w:ind w:left="99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Auszahlungen </w:t>
      </w:r>
      <w:proofErr w:type="gramStart"/>
      <w:r w:rsidRPr="00C774C2">
        <w:rPr>
          <w:rFonts w:ascii="Arial Narrow" w:eastAsia="Times New Roman" w:hAnsi="Arial Narrow" w:cstheme="minorHAnsi"/>
          <w:sz w:val="24"/>
          <w:szCs w:val="24"/>
          <w:lang w:eastAsia="de-DE"/>
        </w:rPr>
        <w:t>aus laufender</w:t>
      </w:r>
      <w:proofErr w:type="gramEnd"/>
      <w:r w:rsidRPr="00C774C2">
        <w:rPr>
          <w:rFonts w:ascii="Arial Narrow" w:eastAsia="Times New Roman" w:hAnsi="Arial Narrow" w:cstheme="minorHAnsi"/>
          <w:sz w:val="24"/>
          <w:szCs w:val="24"/>
          <w:lang w:eastAsia="de-DE"/>
        </w:rPr>
        <w:t xml:space="preserve"> Verwaltungstätigkeit</w:t>
      </w:r>
      <w:r w:rsidRPr="00C774C2">
        <w:rPr>
          <w:rFonts w:ascii="Arial Narrow" w:eastAsia="Times New Roman" w:hAnsi="Arial Narrow" w:cstheme="minorHAnsi"/>
          <w:sz w:val="24"/>
          <w:szCs w:val="24"/>
          <w:lang w:eastAsia="de-DE"/>
        </w:rPr>
        <w:tab/>
        <w:t xml:space="preserve">    6.944.226,93 EUR</w:t>
      </w:r>
    </w:p>
    <w:p w14:paraId="1D330401" w14:textId="77777777" w:rsidR="000F426F" w:rsidRPr="00C774C2" w:rsidRDefault="000F426F" w:rsidP="000F426F">
      <w:pPr>
        <w:keepLines/>
        <w:pBdr>
          <w:top w:val="single" w:sz="4" w:space="1" w:color="auto"/>
          <w:bottom w:val="double" w:sz="4" w:space="1" w:color="auto"/>
        </w:pBdr>
        <w:tabs>
          <w:tab w:val="left" w:pos="1134"/>
          <w:tab w:val="right" w:pos="7655"/>
        </w:tabs>
        <w:spacing w:after="0" w:line="240" w:lineRule="auto"/>
        <w:ind w:left="993" w:right="1417"/>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Zahlungsmittelsaldo </w:t>
      </w:r>
      <w:proofErr w:type="gramStart"/>
      <w:r w:rsidRPr="00C774C2">
        <w:rPr>
          <w:rFonts w:ascii="Arial Narrow" w:eastAsia="Times New Roman" w:hAnsi="Arial Narrow" w:cstheme="minorHAnsi"/>
          <w:sz w:val="24"/>
          <w:szCs w:val="24"/>
          <w:lang w:eastAsia="de-DE"/>
        </w:rPr>
        <w:t>aus laufender</w:t>
      </w:r>
      <w:proofErr w:type="gramEnd"/>
    </w:p>
    <w:p w14:paraId="492D53C2" w14:textId="77777777" w:rsidR="000F426F" w:rsidRPr="00C774C2" w:rsidRDefault="000F426F" w:rsidP="000F426F">
      <w:pPr>
        <w:pBdr>
          <w:top w:val="single" w:sz="4" w:space="1" w:color="auto"/>
          <w:bottom w:val="double" w:sz="4" w:space="1" w:color="auto"/>
        </w:pBdr>
        <w:tabs>
          <w:tab w:val="left" w:pos="1134"/>
          <w:tab w:val="right" w:pos="7655"/>
        </w:tabs>
        <w:spacing w:after="0" w:line="240" w:lineRule="auto"/>
        <w:ind w:left="993" w:right="1417"/>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Verwaltungstätigkeit                                                    </w:t>
      </w:r>
      <w:r w:rsidRPr="00C774C2">
        <w:rPr>
          <w:rFonts w:ascii="Arial Narrow" w:eastAsia="Times New Roman" w:hAnsi="Arial Narrow" w:cstheme="minorHAnsi"/>
          <w:sz w:val="24"/>
          <w:szCs w:val="24"/>
          <w:lang w:eastAsia="de-DE"/>
        </w:rPr>
        <w:tab/>
        <w:t xml:space="preserve">      939.870,59 EUR</w:t>
      </w:r>
    </w:p>
    <w:p w14:paraId="6AF3188F" w14:textId="77777777" w:rsidR="000F426F" w:rsidRPr="00C774C2" w:rsidRDefault="000F426F" w:rsidP="000F426F">
      <w:pPr>
        <w:tabs>
          <w:tab w:val="left" w:pos="1134"/>
          <w:tab w:val="right" w:pos="7655"/>
        </w:tabs>
        <w:spacing w:after="0" w:line="240" w:lineRule="auto"/>
        <w:ind w:left="1134" w:right="1273"/>
        <w:contextualSpacing/>
        <w:jc w:val="both"/>
        <w:rPr>
          <w:rFonts w:ascii="Arial Narrow" w:eastAsia="Times New Roman" w:hAnsi="Arial Narrow" w:cstheme="minorHAnsi"/>
          <w:sz w:val="24"/>
          <w:szCs w:val="24"/>
          <w:lang w:eastAsia="de-DE"/>
        </w:rPr>
      </w:pPr>
    </w:p>
    <w:p w14:paraId="0B02130C" w14:textId="77777777" w:rsidR="000F426F" w:rsidRPr="00C774C2" w:rsidRDefault="000F426F" w:rsidP="000F426F">
      <w:pPr>
        <w:tabs>
          <w:tab w:val="left" w:pos="1134"/>
          <w:tab w:val="right" w:pos="7655"/>
        </w:tabs>
        <w:spacing w:after="0" w:line="240" w:lineRule="auto"/>
        <w:ind w:left="1134"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Einzahlungen aus Investitionstätigkeit</w:t>
      </w:r>
      <w:r w:rsidRPr="00C774C2">
        <w:rPr>
          <w:rFonts w:ascii="Arial Narrow" w:eastAsia="Times New Roman" w:hAnsi="Arial Narrow" w:cstheme="minorHAnsi"/>
          <w:sz w:val="24"/>
          <w:szCs w:val="24"/>
          <w:lang w:eastAsia="de-DE"/>
        </w:rPr>
        <w:tab/>
        <w:t>878.888,65 EUR</w:t>
      </w:r>
    </w:p>
    <w:p w14:paraId="69A178D1" w14:textId="77777777" w:rsidR="000F426F" w:rsidRPr="00C774C2" w:rsidRDefault="000F426F" w:rsidP="000F426F">
      <w:pPr>
        <w:tabs>
          <w:tab w:val="left" w:pos="1134"/>
          <w:tab w:val="right" w:pos="7655"/>
        </w:tabs>
        <w:spacing w:after="0" w:line="240" w:lineRule="auto"/>
        <w:ind w:left="1134"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Auszahlungen aus Investitionstätigkeit</w:t>
      </w:r>
      <w:r w:rsidRPr="00C774C2">
        <w:rPr>
          <w:rFonts w:ascii="Arial Narrow" w:eastAsia="Times New Roman" w:hAnsi="Arial Narrow" w:cstheme="minorHAnsi"/>
          <w:sz w:val="24"/>
          <w:szCs w:val="24"/>
          <w:lang w:eastAsia="de-DE"/>
        </w:rPr>
        <w:tab/>
        <w:t>1.076.389,51 EUR</w:t>
      </w:r>
    </w:p>
    <w:p w14:paraId="72A4D260" w14:textId="77777777" w:rsidR="000F426F" w:rsidRPr="00C774C2" w:rsidRDefault="000F426F" w:rsidP="000F426F">
      <w:pPr>
        <w:pBdr>
          <w:top w:val="single" w:sz="4" w:space="1" w:color="auto"/>
          <w:bottom w:val="double" w:sz="4" w:space="1" w:color="auto"/>
        </w:pBdr>
        <w:tabs>
          <w:tab w:val="left" w:pos="1134"/>
          <w:tab w:val="right" w:pos="7655"/>
        </w:tabs>
        <w:spacing w:after="0" w:line="240" w:lineRule="auto"/>
        <w:ind w:left="1134"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Zahlungsmittelsaldo aus Investitionstätigkeit</w:t>
      </w:r>
      <w:r w:rsidRPr="00C774C2">
        <w:rPr>
          <w:rFonts w:ascii="Arial Narrow" w:eastAsia="Times New Roman" w:hAnsi="Arial Narrow" w:cstheme="minorHAnsi"/>
          <w:sz w:val="24"/>
          <w:szCs w:val="24"/>
          <w:lang w:eastAsia="de-DE"/>
        </w:rPr>
        <w:tab/>
        <w:t>-197.500,86 EUR</w:t>
      </w:r>
    </w:p>
    <w:p w14:paraId="38278EA8"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60989E84" w14:textId="77777777" w:rsidR="000F426F" w:rsidRPr="00C774C2" w:rsidRDefault="000F426F" w:rsidP="000F426F">
      <w:pPr>
        <w:pBdr>
          <w:top w:val="single" w:sz="4" w:space="1" w:color="auto"/>
          <w:bottom w:val="double" w:sz="4" w:space="1" w:color="auto"/>
        </w:pBdr>
        <w:tabs>
          <w:tab w:val="left" w:pos="1134"/>
          <w:tab w:val="left" w:pos="1701"/>
          <w:tab w:val="right" w:pos="7655"/>
        </w:tabs>
        <w:spacing w:after="0" w:line="240" w:lineRule="auto"/>
        <w:ind w:left="1134"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Veranschlagter Finanzierungsmittelüberschuss</w:t>
      </w:r>
      <w:r w:rsidRPr="00C774C2">
        <w:rPr>
          <w:rFonts w:ascii="Arial Narrow" w:eastAsia="Times New Roman" w:hAnsi="Arial Narrow" w:cstheme="minorHAnsi"/>
          <w:sz w:val="24"/>
          <w:szCs w:val="24"/>
          <w:lang w:eastAsia="de-DE"/>
        </w:rPr>
        <w:tab/>
        <w:t>742.369,73 EUR</w:t>
      </w:r>
    </w:p>
    <w:p w14:paraId="5A0625D6"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38E6748F" w14:textId="77777777" w:rsidR="000F426F" w:rsidRPr="00C774C2" w:rsidRDefault="000F426F" w:rsidP="000F426F">
      <w:pP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Einzahlungen aus Finanzierungstätigkeit</w:t>
      </w:r>
      <w:r w:rsidRPr="00C774C2">
        <w:rPr>
          <w:rFonts w:ascii="Arial Narrow" w:eastAsia="Times New Roman" w:hAnsi="Arial Narrow" w:cstheme="minorHAnsi"/>
          <w:sz w:val="24"/>
          <w:szCs w:val="24"/>
          <w:lang w:eastAsia="de-DE"/>
        </w:rPr>
        <w:tab/>
        <w:t>0,00 EUR</w:t>
      </w:r>
    </w:p>
    <w:p w14:paraId="7C12686A" w14:textId="77777777" w:rsidR="000F426F" w:rsidRPr="00C774C2" w:rsidRDefault="000F426F" w:rsidP="000F426F">
      <w:pP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Auszahlungen aus Finanzierungstätigkeit</w:t>
      </w:r>
      <w:r w:rsidRPr="00C774C2">
        <w:rPr>
          <w:rFonts w:ascii="Arial Narrow" w:eastAsia="Times New Roman" w:hAnsi="Arial Narrow" w:cstheme="minorHAnsi"/>
          <w:sz w:val="24"/>
          <w:szCs w:val="24"/>
          <w:lang w:eastAsia="de-DE"/>
        </w:rPr>
        <w:tab/>
        <w:t>472.121,28 EUR</w:t>
      </w:r>
    </w:p>
    <w:p w14:paraId="693C9BDF" w14:textId="77777777" w:rsidR="000F426F" w:rsidRPr="00C774C2" w:rsidRDefault="000F426F" w:rsidP="000F426F">
      <w:pPr>
        <w:pBdr>
          <w:top w:val="single" w:sz="4" w:space="1" w:color="auto"/>
          <w:bottom w:val="double" w:sz="4" w:space="1" w:color="auto"/>
        </w:pBd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Zahlungsmittelsaldo aus Finanzierungstätigkeit</w:t>
      </w:r>
      <w:r w:rsidRPr="00C774C2">
        <w:rPr>
          <w:rFonts w:ascii="Arial Narrow" w:eastAsia="Times New Roman" w:hAnsi="Arial Narrow" w:cstheme="minorHAnsi"/>
          <w:sz w:val="24"/>
          <w:szCs w:val="24"/>
          <w:lang w:eastAsia="de-DE"/>
        </w:rPr>
        <w:tab/>
        <w:t>-472.121,28 EUR</w:t>
      </w:r>
    </w:p>
    <w:p w14:paraId="5534B378"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66FD22E5" w14:textId="77777777" w:rsidR="000F426F" w:rsidRPr="00C774C2" w:rsidRDefault="000F426F" w:rsidP="000F426F">
      <w:pP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Anfangsbestand an Zahlungsmitteln</w:t>
      </w:r>
      <w:r w:rsidRPr="00C774C2">
        <w:rPr>
          <w:rFonts w:ascii="Arial Narrow" w:eastAsia="Times New Roman" w:hAnsi="Arial Narrow" w:cstheme="minorHAnsi"/>
          <w:sz w:val="24"/>
          <w:szCs w:val="24"/>
          <w:lang w:eastAsia="de-DE"/>
        </w:rPr>
        <w:tab/>
        <w:t>874.268,54 EUR</w:t>
      </w:r>
    </w:p>
    <w:p w14:paraId="1830A46E" w14:textId="77777777" w:rsidR="000F426F" w:rsidRPr="00C774C2" w:rsidRDefault="000F426F" w:rsidP="000F426F">
      <w:pP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Änderung des Finanzmittelbestandes</w:t>
      </w:r>
      <w:r w:rsidRPr="00C774C2">
        <w:rPr>
          <w:rFonts w:ascii="Arial Narrow" w:eastAsia="Times New Roman" w:hAnsi="Arial Narrow" w:cstheme="minorHAnsi"/>
          <w:sz w:val="24"/>
          <w:szCs w:val="24"/>
          <w:lang w:eastAsia="de-DE"/>
        </w:rPr>
        <w:tab/>
        <w:t>270.248,45 EUR</w:t>
      </w:r>
    </w:p>
    <w:p w14:paraId="1D20BF65" w14:textId="77777777" w:rsidR="000F426F" w:rsidRPr="00C774C2" w:rsidRDefault="000F426F" w:rsidP="000F426F">
      <w:pP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Saldo aus haushaltsunwirksamen Vorgängen</w:t>
      </w:r>
      <w:r w:rsidRPr="00C774C2">
        <w:rPr>
          <w:rFonts w:ascii="Arial Narrow" w:eastAsia="Times New Roman" w:hAnsi="Arial Narrow" w:cstheme="minorHAnsi"/>
          <w:sz w:val="24"/>
          <w:szCs w:val="24"/>
          <w:lang w:eastAsia="de-DE"/>
        </w:rPr>
        <w:tab/>
        <w:t>20.076,14 EUR</w:t>
      </w:r>
    </w:p>
    <w:p w14:paraId="0C5B3859" w14:textId="77777777" w:rsidR="000F426F" w:rsidRPr="00C774C2" w:rsidRDefault="000F426F" w:rsidP="000F426F">
      <w:pPr>
        <w:pBdr>
          <w:top w:val="single" w:sz="4" w:space="1" w:color="auto"/>
          <w:bottom w:val="double" w:sz="4" w:space="1" w:color="auto"/>
        </w:pBdr>
        <w:tabs>
          <w:tab w:val="left" w:pos="1134"/>
          <w:tab w:val="left" w:pos="1701"/>
          <w:tab w:val="right" w:pos="7655"/>
        </w:tabs>
        <w:spacing w:after="0" w:line="240" w:lineRule="auto"/>
        <w:ind w:left="851" w:right="1273"/>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Endbestand an Zahlungsmitteln (Liquiditätsreserve)</w:t>
      </w:r>
      <w:r w:rsidRPr="00C774C2">
        <w:rPr>
          <w:rFonts w:ascii="Arial Narrow" w:eastAsia="Times New Roman" w:hAnsi="Arial Narrow" w:cstheme="minorHAnsi"/>
          <w:sz w:val="24"/>
          <w:szCs w:val="24"/>
          <w:lang w:eastAsia="de-DE"/>
        </w:rPr>
        <w:tab/>
        <w:t>1.164.593,13 EUR</w:t>
      </w:r>
    </w:p>
    <w:p w14:paraId="228D59B8" w14:textId="77777777" w:rsidR="000F426F" w:rsidRPr="00C774C2" w:rsidRDefault="000F426F" w:rsidP="000F426F">
      <w:pPr>
        <w:tabs>
          <w:tab w:val="left" w:pos="1134"/>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23B7A1D7" w14:textId="77777777" w:rsidR="000F426F" w:rsidRPr="00C774C2" w:rsidRDefault="000F426F" w:rsidP="000F426F">
      <w:pPr>
        <w:numPr>
          <w:ilvl w:val="0"/>
          <w:numId w:val="2"/>
        </w:num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Vermögensrechnung (Anlage) </w:t>
      </w:r>
    </w:p>
    <w:p w14:paraId="56C87F35"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64C506BE" w14:textId="77777777" w:rsidR="000F426F" w:rsidRPr="00C774C2" w:rsidRDefault="000F426F" w:rsidP="000F426F">
      <w:pPr>
        <w:tabs>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              Bilanzsumme:</w:t>
      </w:r>
      <w:r w:rsidRPr="00C774C2">
        <w:rPr>
          <w:rFonts w:ascii="Arial Narrow" w:eastAsia="Times New Roman" w:hAnsi="Arial Narrow" w:cstheme="minorHAnsi"/>
          <w:sz w:val="24"/>
          <w:szCs w:val="24"/>
          <w:lang w:eastAsia="de-DE"/>
        </w:rPr>
        <w:tab/>
        <w:t>41.124.975,59 EUR</w:t>
      </w:r>
    </w:p>
    <w:p w14:paraId="75A095D7" w14:textId="77777777" w:rsidR="000F426F" w:rsidRPr="00C774C2" w:rsidRDefault="000F426F" w:rsidP="000F426F">
      <w:pPr>
        <w:tabs>
          <w:tab w:val="left" w:pos="426"/>
          <w:tab w:val="left" w:pos="1134"/>
          <w:tab w:val="left" w:pos="1701"/>
          <w:tab w:val="right" w:pos="7655"/>
        </w:tabs>
        <w:spacing w:after="0" w:line="240" w:lineRule="auto"/>
        <w:contextualSpacing/>
        <w:jc w:val="both"/>
        <w:rPr>
          <w:rFonts w:ascii="Arial Narrow" w:eastAsia="Times New Roman" w:hAnsi="Arial Narrow" w:cstheme="minorHAnsi"/>
          <w:sz w:val="24"/>
          <w:szCs w:val="24"/>
          <w:lang w:eastAsia="de-DE"/>
        </w:rPr>
      </w:pPr>
    </w:p>
    <w:p w14:paraId="2CA14BBF" w14:textId="77777777" w:rsidR="000F426F" w:rsidRPr="00C774C2" w:rsidRDefault="000F426F" w:rsidP="000F426F">
      <w:pPr>
        <w:tabs>
          <w:tab w:val="left" w:pos="425"/>
          <w:tab w:val="left" w:pos="1134"/>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 xml:space="preserve">     davon Aktivseite</w:t>
      </w:r>
    </w:p>
    <w:p w14:paraId="42E3B4EE" w14:textId="77777777" w:rsidR="000F426F" w:rsidRPr="00C774C2" w:rsidRDefault="000F426F" w:rsidP="000F426F">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Anlagevermögen</w:t>
      </w:r>
      <w:r w:rsidRPr="00C774C2">
        <w:rPr>
          <w:rFonts w:ascii="Arial Narrow" w:eastAsia="Times New Roman" w:hAnsi="Arial Narrow" w:cstheme="minorHAnsi"/>
          <w:sz w:val="24"/>
          <w:szCs w:val="24"/>
          <w:lang w:eastAsia="de-DE"/>
        </w:rPr>
        <w:tab/>
        <w:t>38.569.637,24 EUR</w:t>
      </w:r>
    </w:p>
    <w:p w14:paraId="34A0E06F" w14:textId="77777777" w:rsidR="000F426F" w:rsidRPr="00C774C2" w:rsidRDefault="000F426F" w:rsidP="000F426F">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 xml:space="preserve">Umlaufvermögen                                                     </w:t>
      </w:r>
      <w:r w:rsidRPr="00C774C2">
        <w:rPr>
          <w:rFonts w:ascii="Arial Narrow" w:eastAsia="Times New Roman" w:hAnsi="Arial Narrow" w:cstheme="minorHAnsi"/>
          <w:sz w:val="24"/>
          <w:szCs w:val="24"/>
          <w:lang w:eastAsia="de-DE"/>
        </w:rPr>
        <w:tab/>
        <w:t xml:space="preserve">    2.550.063,01 EUR</w:t>
      </w:r>
    </w:p>
    <w:p w14:paraId="1ACED13A" w14:textId="77777777" w:rsidR="000F426F" w:rsidRPr="00C774C2" w:rsidRDefault="000F426F" w:rsidP="000F426F">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Aktive Rechnungsabgrenzungsposten</w:t>
      </w:r>
      <w:r w:rsidRPr="00C774C2">
        <w:rPr>
          <w:rFonts w:ascii="Arial Narrow" w:eastAsia="Times New Roman" w:hAnsi="Arial Narrow" w:cstheme="minorHAnsi"/>
          <w:sz w:val="24"/>
          <w:szCs w:val="24"/>
          <w:lang w:eastAsia="de-DE"/>
        </w:rPr>
        <w:tab/>
        <w:t>5.275,34 EUR</w:t>
      </w:r>
    </w:p>
    <w:p w14:paraId="0B3D5BD1" w14:textId="77777777" w:rsidR="000F426F" w:rsidRPr="00C774C2" w:rsidRDefault="000F426F" w:rsidP="000F426F">
      <w:pPr>
        <w:tabs>
          <w:tab w:val="left" w:pos="425"/>
          <w:tab w:val="left" w:pos="1134"/>
          <w:tab w:val="left" w:pos="1701"/>
          <w:tab w:val="right" w:pos="6804"/>
          <w:tab w:val="right" w:pos="7655"/>
        </w:tabs>
        <w:spacing w:after="0" w:line="240" w:lineRule="auto"/>
        <w:contextualSpacing/>
        <w:jc w:val="both"/>
        <w:rPr>
          <w:rFonts w:ascii="Arial Narrow" w:eastAsia="Times New Roman" w:hAnsi="Arial Narrow" w:cstheme="minorHAnsi"/>
          <w:sz w:val="24"/>
          <w:szCs w:val="24"/>
          <w:lang w:eastAsia="de-DE"/>
        </w:rPr>
      </w:pPr>
    </w:p>
    <w:p w14:paraId="4BF807D0" w14:textId="77777777" w:rsidR="000F426F" w:rsidRPr="00C774C2" w:rsidRDefault="000F426F" w:rsidP="000F426F">
      <w:pPr>
        <w:tabs>
          <w:tab w:val="left" w:pos="425"/>
          <w:tab w:val="left" w:pos="1134"/>
          <w:tab w:val="left" w:pos="1701"/>
          <w:tab w:val="right" w:pos="6804"/>
          <w:tab w:val="right" w:pos="7655"/>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lastRenderedPageBreak/>
        <w:tab/>
        <w:t xml:space="preserve">   davon Passivseite</w:t>
      </w:r>
    </w:p>
    <w:p w14:paraId="05509AD2" w14:textId="77777777" w:rsidR="000F426F" w:rsidRPr="00C774C2" w:rsidRDefault="000F426F" w:rsidP="000F426F">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Kapitalposition</w:t>
      </w:r>
      <w:r w:rsidRPr="00C774C2">
        <w:rPr>
          <w:rFonts w:ascii="Arial Narrow" w:eastAsia="Times New Roman" w:hAnsi="Arial Narrow" w:cstheme="minorHAnsi"/>
          <w:sz w:val="24"/>
          <w:szCs w:val="24"/>
          <w:lang w:eastAsia="de-DE"/>
        </w:rPr>
        <w:tab/>
        <w:t>24.684.892,55 EUR</w:t>
      </w:r>
    </w:p>
    <w:p w14:paraId="00501F1E" w14:textId="77777777" w:rsidR="000F426F" w:rsidRPr="00C774C2" w:rsidRDefault="000F426F" w:rsidP="000F426F">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Sonderposten</w:t>
      </w:r>
      <w:r w:rsidRPr="00C774C2">
        <w:rPr>
          <w:rFonts w:ascii="Arial Narrow" w:eastAsia="Times New Roman" w:hAnsi="Arial Narrow" w:cstheme="minorHAnsi"/>
          <w:sz w:val="24"/>
          <w:szCs w:val="24"/>
          <w:lang w:eastAsia="de-DE"/>
        </w:rPr>
        <w:tab/>
        <w:t>11.968.437,20 EUR</w:t>
      </w:r>
    </w:p>
    <w:p w14:paraId="1CC6778D" w14:textId="77777777" w:rsidR="000F426F" w:rsidRPr="00C774C2" w:rsidRDefault="000F426F" w:rsidP="000F426F">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r>
      <w:r w:rsidRPr="00C774C2">
        <w:rPr>
          <w:rFonts w:ascii="Arial Narrow" w:eastAsia="Times New Roman" w:hAnsi="Arial Narrow" w:cstheme="minorHAnsi"/>
          <w:sz w:val="24"/>
          <w:szCs w:val="24"/>
          <w:lang w:eastAsia="de-DE"/>
        </w:rPr>
        <w:tab/>
        <w:t>Rückstellungen</w:t>
      </w:r>
      <w:r w:rsidRPr="00C774C2">
        <w:rPr>
          <w:rFonts w:ascii="Arial Narrow" w:eastAsia="Times New Roman" w:hAnsi="Arial Narrow" w:cstheme="minorHAnsi"/>
          <w:sz w:val="24"/>
          <w:szCs w:val="24"/>
          <w:lang w:eastAsia="de-DE"/>
        </w:rPr>
        <w:tab/>
        <w:t>464.036,40 EUR</w:t>
      </w:r>
    </w:p>
    <w:p w14:paraId="04E511CD" w14:textId="77777777" w:rsidR="000F426F" w:rsidRPr="00C774C2" w:rsidRDefault="000F426F" w:rsidP="000F426F">
      <w:pPr>
        <w:tabs>
          <w:tab w:val="left" w:pos="425"/>
          <w:tab w:val="left" w:pos="1134"/>
          <w:tab w:val="left" w:pos="1701"/>
          <w:tab w:val="right" w:pos="7655"/>
        </w:tabs>
        <w:spacing w:after="0" w:line="240" w:lineRule="auto"/>
        <w:ind w:left="720"/>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Verbindlichkeiten</w:t>
      </w:r>
      <w:r w:rsidRPr="00C774C2">
        <w:rPr>
          <w:rFonts w:ascii="Arial Narrow" w:eastAsia="Times New Roman" w:hAnsi="Arial Narrow" w:cstheme="minorHAnsi"/>
          <w:sz w:val="24"/>
          <w:szCs w:val="24"/>
          <w:lang w:eastAsia="de-DE"/>
        </w:rPr>
        <w:tab/>
        <w:t>3.984.568,60 EUR</w:t>
      </w:r>
    </w:p>
    <w:p w14:paraId="62E8A276" w14:textId="77777777" w:rsidR="000F426F" w:rsidRPr="00C774C2" w:rsidRDefault="000F426F" w:rsidP="000F426F">
      <w:pPr>
        <w:tabs>
          <w:tab w:val="left" w:pos="425"/>
          <w:tab w:val="left" w:pos="1134"/>
          <w:tab w:val="left" w:pos="1701"/>
          <w:tab w:val="right" w:pos="7655"/>
        </w:tabs>
        <w:spacing w:after="0" w:line="240" w:lineRule="auto"/>
        <w:ind w:left="720"/>
        <w:contextualSpacing/>
        <w:jc w:val="both"/>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b/>
        <w:t>Passive Rechnungsabgrenzungsposten</w:t>
      </w:r>
      <w:r w:rsidRPr="00C774C2">
        <w:rPr>
          <w:rFonts w:ascii="Arial Narrow" w:eastAsia="Times New Roman" w:hAnsi="Arial Narrow" w:cstheme="minorHAnsi"/>
          <w:sz w:val="24"/>
          <w:szCs w:val="24"/>
          <w:lang w:eastAsia="de-DE"/>
        </w:rPr>
        <w:tab/>
        <w:t>23.040,84 EUR</w:t>
      </w:r>
    </w:p>
    <w:p w14:paraId="11AD8387" w14:textId="77777777" w:rsidR="000F426F" w:rsidRPr="00C774C2" w:rsidRDefault="000F426F" w:rsidP="000F426F">
      <w:pPr>
        <w:tabs>
          <w:tab w:val="left" w:pos="425"/>
          <w:tab w:val="left" w:pos="1134"/>
          <w:tab w:val="left" w:pos="1701"/>
          <w:tab w:val="right" w:pos="7655"/>
        </w:tabs>
        <w:spacing w:after="0" w:line="240" w:lineRule="auto"/>
        <w:ind w:left="720"/>
        <w:contextualSpacing/>
        <w:jc w:val="both"/>
        <w:rPr>
          <w:rFonts w:ascii="Arial Narrow" w:eastAsia="Times New Roman" w:hAnsi="Arial Narrow" w:cstheme="minorHAnsi"/>
          <w:sz w:val="24"/>
          <w:szCs w:val="24"/>
          <w:lang w:eastAsia="de-DE"/>
        </w:rPr>
      </w:pPr>
    </w:p>
    <w:p w14:paraId="489B92C8" w14:textId="77777777" w:rsidR="000F426F" w:rsidRPr="00C774C2" w:rsidRDefault="000F426F" w:rsidP="000F426F">
      <w:pPr>
        <w:numPr>
          <w:ilvl w:val="0"/>
          <w:numId w:val="1"/>
        </w:numPr>
        <w:tabs>
          <w:tab w:val="left" w:pos="426"/>
          <w:tab w:val="left" w:pos="1134"/>
        </w:tabs>
        <w:spacing w:after="0" w:line="240" w:lineRule="auto"/>
        <w:contextualSpacing/>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Die im Haushaltsjahr 2017 angefallenen über- und außerplanmäßigen Aufwendungen/ Auszahlungen werden entsprechend des Rechnungsabschlusses festgestellt.</w:t>
      </w:r>
    </w:p>
    <w:p w14:paraId="135ADA1A" w14:textId="77777777" w:rsidR="000F426F" w:rsidRPr="00C774C2" w:rsidRDefault="000F426F" w:rsidP="000F426F">
      <w:pPr>
        <w:tabs>
          <w:tab w:val="left" w:pos="426"/>
          <w:tab w:val="left" w:pos="1134"/>
        </w:tabs>
        <w:spacing w:after="0" w:line="240" w:lineRule="auto"/>
        <w:ind w:left="720"/>
        <w:contextualSpacing/>
        <w:rPr>
          <w:rFonts w:ascii="Arial Narrow" w:eastAsia="Times New Roman" w:hAnsi="Arial Narrow" w:cstheme="minorHAnsi"/>
          <w:sz w:val="24"/>
          <w:szCs w:val="24"/>
          <w:lang w:eastAsia="de-DE"/>
        </w:rPr>
      </w:pPr>
    </w:p>
    <w:p w14:paraId="1F6DC9F3" w14:textId="77777777" w:rsidR="000F426F" w:rsidRPr="00C774C2" w:rsidRDefault="000F426F" w:rsidP="000F426F">
      <w:pPr>
        <w:numPr>
          <w:ilvl w:val="0"/>
          <w:numId w:val="1"/>
        </w:numPr>
        <w:tabs>
          <w:tab w:val="left" w:pos="284"/>
        </w:tabs>
        <w:spacing w:after="0" w:line="240" w:lineRule="auto"/>
        <w:contextualSpacing/>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 xml:space="preserve">Von der Anwendung des § 88 Abs. 5 </w:t>
      </w:r>
      <w:proofErr w:type="spellStart"/>
      <w:r w:rsidRPr="00C774C2">
        <w:rPr>
          <w:rFonts w:ascii="Arial Narrow" w:eastAsia="Times New Roman" w:hAnsi="Arial Narrow" w:cstheme="minorHAnsi"/>
          <w:sz w:val="24"/>
          <w:szCs w:val="24"/>
          <w:lang w:eastAsia="de-DE"/>
        </w:rPr>
        <w:t>SächsGemO</w:t>
      </w:r>
      <w:proofErr w:type="spellEnd"/>
      <w:r w:rsidRPr="00C774C2">
        <w:rPr>
          <w:rFonts w:ascii="Arial Narrow" w:eastAsia="Times New Roman" w:hAnsi="Arial Narrow" w:cstheme="minorHAnsi"/>
          <w:sz w:val="24"/>
          <w:szCs w:val="24"/>
          <w:lang w:eastAsia="de-DE"/>
        </w:rPr>
        <w:t xml:space="preserve"> wird Gebrauch gemacht. Dies bedeutet, dass auf die Erstellung der im § 88 Abs. 2, Satz 2 und § 88 Abs. 3 und 4 geforderten Anlagen wie Anhang und Rechenschaftsbericht verzichtet wird.</w:t>
      </w:r>
    </w:p>
    <w:p w14:paraId="02C13095" w14:textId="77777777" w:rsidR="000F426F" w:rsidRPr="00C774C2" w:rsidRDefault="000F426F" w:rsidP="000F426F">
      <w:pPr>
        <w:tabs>
          <w:tab w:val="left" w:pos="426"/>
          <w:tab w:val="left" w:pos="1134"/>
        </w:tabs>
        <w:spacing w:after="0" w:line="240" w:lineRule="auto"/>
        <w:ind w:left="720"/>
        <w:contextualSpacing/>
        <w:rPr>
          <w:rFonts w:ascii="Arial Narrow" w:eastAsia="Times New Roman" w:hAnsi="Arial Narrow" w:cstheme="minorHAnsi"/>
          <w:sz w:val="24"/>
          <w:szCs w:val="24"/>
          <w:lang w:eastAsia="de-DE"/>
        </w:rPr>
      </w:pPr>
    </w:p>
    <w:p w14:paraId="4871707C" w14:textId="77777777" w:rsidR="000F426F" w:rsidRPr="00C774C2" w:rsidRDefault="000F426F" w:rsidP="000F426F">
      <w:pPr>
        <w:numPr>
          <w:ilvl w:val="0"/>
          <w:numId w:val="1"/>
        </w:numPr>
        <w:tabs>
          <w:tab w:val="left" w:pos="284"/>
        </w:tabs>
        <w:spacing w:after="0" w:line="240" w:lineRule="auto"/>
        <w:contextualSpacing/>
        <w:rPr>
          <w:rFonts w:ascii="Arial Narrow" w:eastAsia="Times New Roman" w:hAnsi="Arial Narrow" w:cstheme="minorHAnsi"/>
          <w:sz w:val="24"/>
          <w:szCs w:val="24"/>
          <w:lang w:eastAsia="de-DE"/>
        </w:rPr>
      </w:pPr>
      <w:r w:rsidRPr="00C774C2">
        <w:rPr>
          <w:rFonts w:ascii="Arial Narrow" w:eastAsia="Times New Roman" w:hAnsi="Arial Narrow" w:cstheme="minorHAnsi"/>
          <w:sz w:val="24"/>
          <w:szCs w:val="24"/>
          <w:lang w:eastAsia="de-DE"/>
        </w:rPr>
        <w:t>Auf die Aufstellung eines konsolidierten Gesamtabschlusses der Stadt Wittichenau für das Jahr 2017 wird gemäß VwV Kommunale Haushaltswirtschaft, Punkt XIV Nr. 3 verzichtet.</w:t>
      </w:r>
    </w:p>
    <w:p w14:paraId="76200256" w14:textId="77777777" w:rsidR="000F426F" w:rsidRPr="00C774C2" w:rsidRDefault="000F426F" w:rsidP="000F426F">
      <w:pPr>
        <w:pStyle w:val="Listenabsatz"/>
        <w:rPr>
          <w:rFonts w:ascii="Arial Narrow" w:eastAsia="Times New Roman" w:hAnsi="Arial Narrow" w:cstheme="minorHAnsi"/>
          <w:i/>
          <w:iCs/>
          <w:lang w:eastAsia="de-DE"/>
        </w:rPr>
      </w:pPr>
    </w:p>
    <w:p w14:paraId="0A33142E" w14:textId="77777777" w:rsidR="000F426F" w:rsidRPr="00C774C2" w:rsidRDefault="000F426F" w:rsidP="000F426F">
      <w:pPr>
        <w:suppressAutoHyphens/>
        <w:spacing w:line="100" w:lineRule="atLeast"/>
        <w:contextualSpacing/>
        <w:jc w:val="both"/>
        <w:rPr>
          <w:rFonts w:ascii="Arial Narrow" w:eastAsia="Calibri" w:hAnsi="Arial Narrow" w:cs="Times New Roman"/>
          <w:i/>
          <w:u w:val="single"/>
          <w:lang w:eastAsia="ar-SA"/>
        </w:rPr>
      </w:pPr>
      <w:r w:rsidRPr="00C774C2">
        <w:rPr>
          <w:rFonts w:ascii="Arial Narrow" w:eastAsia="Calibri" w:hAnsi="Arial Narrow" w:cs="Times New Roman"/>
          <w:i/>
          <w:u w:val="single"/>
          <w:lang w:eastAsia="ar-SA"/>
        </w:rPr>
        <w:t>Erläuterungen:</w:t>
      </w:r>
    </w:p>
    <w:p w14:paraId="6B990D05" w14:textId="77777777" w:rsidR="0012378B" w:rsidRPr="00C774C2" w:rsidRDefault="004F28D7" w:rsidP="004F28D7">
      <w:pPr>
        <w:contextualSpacing/>
        <w:jc w:val="both"/>
        <w:rPr>
          <w:rFonts w:ascii="Arial Narrow" w:eastAsia="Times New Roman" w:hAnsi="Arial Narrow" w:cs="Times New Roman"/>
          <w:i/>
          <w:iCs/>
          <w:szCs w:val="24"/>
          <w:lang w:eastAsia="de-DE"/>
        </w:rPr>
      </w:pPr>
      <w:r w:rsidRPr="00C774C2">
        <w:rPr>
          <w:rFonts w:ascii="Arial Narrow" w:eastAsia="Times New Roman" w:hAnsi="Arial Narrow" w:cs="Times New Roman"/>
          <w:i/>
          <w:iCs/>
          <w:szCs w:val="24"/>
          <w:lang w:eastAsia="de-DE"/>
        </w:rPr>
        <w:t xml:space="preserve">Durch die Einführung der Doppik als neues kommunales Rechnungswesen </w:t>
      </w:r>
      <w:r w:rsidR="00C87D00" w:rsidRPr="00C774C2">
        <w:rPr>
          <w:rFonts w:ascii="Arial Narrow" w:eastAsia="Times New Roman" w:hAnsi="Arial Narrow" w:cs="Times New Roman"/>
          <w:i/>
          <w:iCs/>
          <w:szCs w:val="24"/>
          <w:lang w:eastAsia="de-DE"/>
        </w:rPr>
        <w:t xml:space="preserve">in Sachsen </w:t>
      </w:r>
      <w:r w:rsidRPr="00C774C2">
        <w:rPr>
          <w:rFonts w:ascii="Arial Narrow" w:eastAsia="Times New Roman" w:hAnsi="Arial Narrow" w:cs="Times New Roman"/>
          <w:i/>
          <w:iCs/>
          <w:szCs w:val="24"/>
          <w:lang w:eastAsia="de-DE"/>
        </w:rPr>
        <w:t xml:space="preserve">zum 01.01.2013 hatte sich in der Folgezeit die Prüfung und Feststellung der Jahresabschlüsse des Stadthaushaltes </w:t>
      </w:r>
      <w:proofErr w:type="gramStart"/>
      <w:r w:rsidRPr="00C774C2">
        <w:rPr>
          <w:rFonts w:ascii="Arial Narrow" w:eastAsia="Times New Roman" w:hAnsi="Arial Narrow" w:cs="Times New Roman"/>
          <w:i/>
          <w:iCs/>
          <w:szCs w:val="24"/>
          <w:lang w:eastAsia="de-DE"/>
        </w:rPr>
        <w:t>extrem verzögert</w:t>
      </w:r>
      <w:proofErr w:type="gramEnd"/>
      <w:r w:rsidRPr="00C774C2">
        <w:rPr>
          <w:rFonts w:ascii="Arial Narrow" w:eastAsia="Times New Roman" w:hAnsi="Arial Narrow" w:cs="Times New Roman"/>
          <w:i/>
          <w:iCs/>
          <w:szCs w:val="24"/>
          <w:lang w:eastAsia="de-DE"/>
        </w:rPr>
        <w:t xml:space="preserve">. Zunächst lag es daran, dass zum Stichtag 01.01.2013 alle Kommunen eine Eröffnungsbilanz aufstellen und durch ein Wirtschaftsprüfungsunternehmen prüfen lassen mussten. Durch die so entstandene Überlastung der Prüfungsunternehmen zog sich dies jahrelang hin. Erst nach erfolgreich absolvierter Prüfung der Eröffnungsbilanz – in Wittichenau war dies Mitte 2016 der Fall - konnte die </w:t>
      </w:r>
      <w:r w:rsidR="000B1E48" w:rsidRPr="00C774C2">
        <w:rPr>
          <w:rFonts w:ascii="Arial Narrow" w:eastAsia="Times New Roman" w:hAnsi="Arial Narrow" w:cs="Times New Roman"/>
          <w:i/>
          <w:iCs/>
          <w:szCs w:val="24"/>
          <w:lang w:eastAsia="de-DE"/>
        </w:rPr>
        <w:t xml:space="preserve">externe </w:t>
      </w:r>
      <w:r w:rsidRPr="00C774C2">
        <w:rPr>
          <w:rFonts w:ascii="Arial Narrow" w:eastAsia="Times New Roman" w:hAnsi="Arial Narrow" w:cs="Times New Roman"/>
          <w:i/>
          <w:iCs/>
          <w:szCs w:val="24"/>
          <w:lang w:eastAsia="de-DE"/>
        </w:rPr>
        <w:t>Prüfung der Jahresabschlüsse ab 2013 in Angriff genommen werden. Dann zeigte sich jedoch, dass es hierbei immer wieder kaum beherrschbare Probleme mit der damaligen Kämmerei-Software gab. D</w:t>
      </w:r>
      <w:r w:rsidR="000B1E48" w:rsidRPr="00C774C2">
        <w:rPr>
          <w:rFonts w:ascii="Arial Narrow" w:eastAsia="Times New Roman" w:hAnsi="Arial Narrow" w:cs="Times New Roman"/>
          <w:i/>
          <w:iCs/>
          <w:szCs w:val="24"/>
          <w:lang w:eastAsia="de-DE"/>
        </w:rPr>
        <w:t>aher</w:t>
      </w:r>
      <w:r w:rsidRPr="00C774C2">
        <w:rPr>
          <w:rFonts w:ascii="Arial Narrow" w:eastAsia="Times New Roman" w:hAnsi="Arial Narrow" w:cs="Times New Roman"/>
          <w:i/>
          <w:iCs/>
          <w:szCs w:val="24"/>
          <w:lang w:eastAsia="de-DE"/>
        </w:rPr>
        <w:t xml:space="preserve"> konnte der Stadtrat den ersten Doppik-Jahresabschluss von 2013 erst am 09.12.2020 feststellen. Am 09.03.2022 folgte dann der Stadtratsbeschluss über den Jahresabschluss 2014. Nach Umstellungsarbeiten </w:t>
      </w:r>
      <w:proofErr w:type="gramStart"/>
      <w:r w:rsidRPr="00C774C2">
        <w:rPr>
          <w:rFonts w:ascii="Arial Narrow" w:eastAsia="Times New Roman" w:hAnsi="Arial Narrow" w:cs="Times New Roman"/>
          <w:i/>
          <w:iCs/>
          <w:szCs w:val="24"/>
          <w:lang w:eastAsia="de-DE"/>
        </w:rPr>
        <w:t>in 2022</w:t>
      </w:r>
      <w:proofErr w:type="gramEnd"/>
      <w:r w:rsidRPr="00C774C2">
        <w:rPr>
          <w:rFonts w:ascii="Arial Narrow" w:eastAsia="Times New Roman" w:hAnsi="Arial Narrow" w:cs="Times New Roman"/>
          <w:i/>
          <w:iCs/>
          <w:szCs w:val="24"/>
          <w:lang w:eastAsia="de-DE"/>
        </w:rPr>
        <w:t xml:space="preserve"> ist seit Anfang 2023 eine neue Software in der Kämmerei in Anwendung. </w:t>
      </w:r>
      <w:r w:rsidR="000B1E48" w:rsidRPr="00C774C2">
        <w:rPr>
          <w:rFonts w:ascii="Arial Narrow" w:eastAsia="Times New Roman" w:hAnsi="Arial Narrow" w:cs="Times New Roman"/>
          <w:i/>
          <w:iCs/>
          <w:szCs w:val="24"/>
          <w:lang w:eastAsia="de-DE"/>
        </w:rPr>
        <w:t>Seitdem</w:t>
      </w:r>
      <w:r w:rsidRPr="00C774C2">
        <w:rPr>
          <w:rFonts w:ascii="Arial Narrow" w:eastAsia="Times New Roman" w:hAnsi="Arial Narrow" w:cs="Times New Roman"/>
          <w:i/>
          <w:iCs/>
          <w:szCs w:val="24"/>
          <w:lang w:eastAsia="de-DE"/>
        </w:rPr>
        <w:t xml:space="preserve"> ist die Erstellung der noch fehlenden Doppik-Jahresabschlüsse wesentlich problemloser möglich. Am 18.10.2023 konnte der Stadtrat den Jahresabschluss 2015 und am 09.10.2024 den Jahresabschluss 2016 feststellen. </w:t>
      </w:r>
    </w:p>
    <w:p w14:paraId="79055122" w14:textId="2D8BE9E7" w:rsidR="00C87D00" w:rsidRPr="00C774C2" w:rsidRDefault="004F28D7" w:rsidP="004F28D7">
      <w:pPr>
        <w:contextualSpacing/>
        <w:jc w:val="both"/>
        <w:rPr>
          <w:rFonts w:ascii="Arial Narrow" w:eastAsia="Times New Roman" w:hAnsi="Arial Narrow" w:cs="Times New Roman"/>
          <w:i/>
          <w:iCs/>
          <w:szCs w:val="24"/>
          <w:lang w:eastAsia="de-DE"/>
        </w:rPr>
      </w:pPr>
      <w:r w:rsidRPr="00C774C2">
        <w:rPr>
          <w:rFonts w:ascii="Arial Narrow" w:eastAsia="Times New Roman" w:hAnsi="Arial Narrow" w:cs="Times New Roman"/>
          <w:i/>
          <w:iCs/>
          <w:szCs w:val="24"/>
          <w:lang w:eastAsia="de-DE"/>
        </w:rPr>
        <w:t xml:space="preserve">Mit dem obigen Beschluss ist nun auch der städtische Jahresabschluss 2017 festgestellt worden. Die Prüfung verlief ohne Beanstandungen, so dass die Wirtschaftsprüfungsgesellschaft REVICON Deutsche Treuhand Gesellschaft </w:t>
      </w:r>
      <w:proofErr w:type="spellStart"/>
      <w:r w:rsidRPr="00C774C2">
        <w:rPr>
          <w:rFonts w:ascii="Arial Narrow" w:eastAsia="Times New Roman" w:hAnsi="Arial Narrow" w:cs="Times New Roman"/>
          <w:i/>
          <w:iCs/>
          <w:szCs w:val="24"/>
          <w:lang w:eastAsia="de-DE"/>
        </w:rPr>
        <w:t>m.b.H</w:t>
      </w:r>
      <w:proofErr w:type="spellEnd"/>
      <w:r w:rsidRPr="00C774C2">
        <w:rPr>
          <w:rFonts w:ascii="Arial Narrow" w:eastAsia="Times New Roman" w:hAnsi="Arial Narrow" w:cs="Times New Roman"/>
          <w:i/>
          <w:iCs/>
          <w:szCs w:val="24"/>
          <w:lang w:eastAsia="de-DE"/>
        </w:rPr>
        <w:t>. einen uneingeschränkten Bestätigungsvermerk erteilen konnte.</w:t>
      </w:r>
      <w:r w:rsidR="00CC3045" w:rsidRPr="00C774C2">
        <w:rPr>
          <w:rFonts w:ascii="Arial Narrow" w:eastAsia="Times New Roman" w:hAnsi="Arial Narrow" w:cs="Times New Roman"/>
          <w:i/>
          <w:iCs/>
          <w:szCs w:val="24"/>
          <w:lang w:eastAsia="de-DE"/>
        </w:rPr>
        <w:t xml:space="preserve"> Aus den positiven Zahlen wird deutlich, dass 2017 für die Stadt ein wirtschaftlich sehr gutes Jahr war.</w:t>
      </w:r>
      <w:r w:rsidR="00C87D00" w:rsidRPr="00C774C2">
        <w:rPr>
          <w:rFonts w:ascii="Arial Narrow" w:eastAsia="Times New Roman" w:hAnsi="Arial Narrow" w:cs="Times New Roman"/>
          <w:i/>
          <w:iCs/>
          <w:szCs w:val="24"/>
          <w:lang w:eastAsia="de-DE"/>
        </w:rPr>
        <w:t xml:space="preserve"> </w:t>
      </w:r>
    </w:p>
    <w:p w14:paraId="23F98748" w14:textId="52FC2107" w:rsidR="004F28D7" w:rsidRPr="00C774C2" w:rsidRDefault="00C87D00" w:rsidP="004F28D7">
      <w:pPr>
        <w:contextualSpacing/>
        <w:jc w:val="both"/>
        <w:rPr>
          <w:rFonts w:ascii="Arial Narrow" w:eastAsia="Times New Roman" w:hAnsi="Arial Narrow" w:cs="Times New Roman"/>
          <w:i/>
          <w:iCs/>
          <w:szCs w:val="24"/>
          <w:lang w:eastAsia="de-DE"/>
        </w:rPr>
      </w:pPr>
      <w:r w:rsidRPr="00C774C2">
        <w:rPr>
          <w:rFonts w:ascii="Arial Narrow" w:eastAsia="Times New Roman" w:hAnsi="Arial Narrow" w:cs="Times New Roman"/>
          <w:i/>
          <w:iCs/>
          <w:szCs w:val="24"/>
          <w:lang w:eastAsia="de-DE"/>
        </w:rPr>
        <w:t>Die Jahresabschlüsse 2018 und 2019 stehen derzeit vor der Prüfung. Ziel ist es</w:t>
      </w:r>
      <w:r w:rsidR="0012378B" w:rsidRPr="00C774C2">
        <w:rPr>
          <w:rFonts w:ascii="Arial Narrow" w:eastAsia="Times New Roman" w:hAnsi="Arial Narrow" w:cs="Times New Roman"/>
          <w:i/>
          <w:iCs/>
          <w:szCs w:val="24"/>
          <w:lang w:eastAsia="de-DE"/>
        </w:rPr>
        <w:t xml:space="preserve">, </w:t>
      </w:r>
      <w:r w:rsidRPr="00C774C2">
        <w:rPr>
          <w:rFonts w:ascii="Arial Narrow" w:eastAsia="Times New Roman" w:hAnsi="Arial Narrow" w:cs="Times New Roman"/>
          <w:i/>
          <w:iCs/>
          <w:szCs w:val="24"/>
          <w:lang w:eastAsia="de-DE"/>
        </w:rPr>
        <w:t>d</w:t>
      </w:r>
      <w:r w:rsidR="0012378B" w:rsidRPr="00C774C2">
        <w:rPr>
          <w:rFonts w:ascii="Arial Narrow" w:eastAsia="Times New Roman" w:hAnsi="Arial Narrow" w:cs="Times New Roman"/>
          <w:i/>
          <w:iCs/>
          <w:szCs w:val="24"/>
          <w:lang w:eastAsia="de-DE"/>
        </w:rPr>
        <w:t>ie</w:t>
      </w:r>
      <w:r w:rsidRPr="00C774C2">
        <w:rPr>
          <w:rFonts w:ascii="Arial Narrow" w:eastAsia="Times New Roman" w:hAnsi="Arial Narrow" w:cs="Times New Roman"/>
          <w:i/>
          <w:iCs/>
          <w:szCs w:val="24"/>
          <w:lang w:eastAsia="de-DE"/>
        </w:rPr>
        <w:t xml:space="preserve"> Rückst</w:t>
      </w:r>
      <w:r w:rsidR="0012378B" w:rsidRPr="00C774C2">
        <w:rPr>
          <w:rFonts w:ascii="Arial Narrow" w:eastAsia="Times New Roman" w:hAnsi="Arial Narrow" w:cs="Times New Roman"/>
          <w:i/>
          <w:iCs/>
          <w:szCs w:val="24"/>
          <w:lang w:eastAsia="de-DE"/>
        </w:rPr>
        <w:t>ände</w:t>
      </w:r>
      <w:r w:rsidRPr="00C774C2">
        <w:rPr>
          <w:rFonts w:ascii="Arial Narrow" w:eastAsia="Times New Roman" w:hAnsi="Arial Narrow" w:cs="Times New Roman"/>
          <w:i/>
          <w:iCs/>
          <w:szCs w:val="24"/>
          <w:lang w:eastAsia="de-DE"/>
        </w:rPr>
        <w:t xml:space="preserve"> </w:t>
      </w:r>
      <w:r w:rsidR="0012378B" w:rsidRPr="00C774C2">
        <w:rPr>
          <w:rFonts w:ascii="Arial Narrow" w:eastAsia="Times New Roman" w:hAnsi="Arial Narrow" w:cs="Times New Roman"/>
          <w:i/>
          <w:iCs/>
          <w:szCs w:val="24"/>
          <w:lang w:eastAsia="de-DE"/>
        </w:rPr>
        <w:t>bei der Feststellung der Jahresabschlüsse des städtischen Haushalts möglichst zügig abzubauen.</w:t>
      </w:r>
    </w:p>
    <w:p w14:paraId="799E84D1" w14:textId="77777777" w:rsidR="00003DC6" w:rsidRPr="00C774C2" w:rsidRDefault="00003DC6" w:rsidP="00003DC6">
      <w:pPr>
        <w:spacing w:after="0" w:line="240" w:lineRule="auto"/>
        <w:jc w:val="both"/>
        <w:rPr>
          <w:rFonts w:ascii="Arial Narrow" w:eastAsia="Times New Roman" w:hAnsi="Arial Narrow" w:cs="Times New Roman"/>
          <w:i/>
          <w:color w:val="0070C0"/>
          <w:kern w:val="0"/>
          <w:szCs w:val="24"/>
          <w:lang w:eastAsia="de-DE"/>
          <w14:ligatures w14:val="none"/>
        </w:rPr>
      </w:pPr>
    </w:p>
    <w:p w14:paraId="5DDE8A18" w14:textId="77777777" w:rsidR="002A50E6" w:rsidRPr="00C774C2" w:rsidRDefault="002A50E6" w:rsidP="00003DC6">
      <w:pPr>
        <w:spacing w:after="0" w:line="240" w:lineRule="auto"/>
        <w:jc w:val="both"/>
        <w:rPr>
          <w:rFonts w:ascii="Arial Narrow" w:eastAsia="Times New Roman" w:hAnsi="Arial Narrow" w:cs="Times New Roman"/>
          <w:i/>
          <w:color w:val="0070C0"/>
          <w:kern w:val="0"/>
          <w:szCs w:val="24"/>
          <w:lang w:eastAsia="de-DE"/>
          <w14:ligatures w14:val="none"/>
        </w:rPr>
      </w:pPr>
    </w:p>
    <w:p w14:paraId="515A326C" w14:textId="3CA893AC"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02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6F85F21C" w14:textId="77777777" w:rsidR="000F426F" w:rsidRPr="00C774C2" w:rsidRDefault="000F426F" w:rsidP="000F426F">
      <w:pPr>
        <w:spacing w:line="240" w:lineRule="auto"/>
        <w:rPr>
          <w:rFonts w:ascii="Arial Narrow" w:eastAsia="Calibri" w:hAnsi="Arial Narrow" w:cs="Times New Roman"/>
          <w:iCs/>
          <w:kern w:val="0"/>
          <w:sz w:val="24"/>
          <w:szCs w:val="24"/>
          <w14:ligatures w14:val="none"/>
        </w:rPr>
      </w:pPr>
      <w:bookmarkStart w:id="3" w:name="_Hlk195171397"/>
      <w:r w:rsidRPr="00C774C2">
        <w:rPr>
          <w:rFonts w:ascii="Arial Narrow" w:eastAsia="Calibri" w:hAnsi="Arial Narrow" w:cs="Times New Roman"/>
          <w:iCs/>
          <w:kern w:val="0"/>
          <w:sz w:val="24"/>
          <w:szCs w:val="24"/>
          <w14:ligatures w14:val="none"/>
        </w:rPr>
        <w:t xml:space="preserve">Der Stadtrat der Stadt Wittichenau vergibt nach europaweiter öffentlicher Ausschreibung die Lieferung eines Hilfeleistungslöschgruppenfahrzeuges HLF 20 mit Beladung an die Firma Schlingmann GmbH &amp; Co. KG, </w:t>
      </w:r>
      <w:proofErr w:type="spellStart"/>
      <w:r w:rsidRPr="00C774C2">
        <w:rPr>
          <w:rFonts w:ascii="Arial Narrow" w:eastAsia="Calibri" w:hAnsi="Arial Narrow" w:cs="Times New Roman"/>
          <w:iCs/>
          <w:kern w:val="0"/>
          <w:sz w:val="24"/>
          <w:szCs w:val="24"/>
          <w14:ligatures w14:val="none"/>
        </w:rPr>
        <w:t>Dieckmannstr</w:t>
      </w:r>
      <w:proofErr w:type="spellEnd"/>
      <w:r w:rsidRPr="00C774C2">
        <w:rPr>
          <w:rFonts w:ascii="Arial Narrow" w:eastAsia="Calibri" w:hAnsi="Arial Narrow" w:cs="Times New Roman"/>
          <w:iCs/>
          <w:kern w:val="0"/>
          <w:sz w:val="24"/>
          <w:szCs w:val="24"/>
          <w14:ligatures w14:val="none"/>
        </w:rPr>
        <w:t xml:space="preserve">. 45, 49201 </w:t>
      </w:r>
      <w:proofErr w:type="spellStart"/>
      <w:r w:rsidRPr="00C774C2">
        <w:rPr>
          <w:rFonts w:ascii="Arial Narrow" w:eastAsia="Calibri" w:hAnsi="Arial Narrow" w:cs="Times New Roman"/>
          <w:iCs/>
          <w:kern w:val="0"/>
          <w:sz w:val="24"/>
          <w:szCs w:val="24"/>
          <w14:ligatures w14:val="none"/>
        </w:rPr>
        <w:t>Dissen</w:t>
      </w:r>
      <w:proofErr w:type="spellEnd"/>
      <w:r w:rsidRPr="00C774C2">
        <w:rPr>
          <w:rFonts w:ascii="Arial Narrow" w:eastAsia="Calibri" w:hAnsi="Arial Narrow" w:cs="Times New Roman"/>
          <w:iCs/>
          <w:kern w:val="0"/>
          <w:sz w:val="24"/>
          <w:szCs w:val="24"/>
          <w14:ligatures w14:val="none"/>
        </w:rPr>
        <w:t>, zu einer Bruttosumme von 644.990,46 €.</w:t>
      </w:r>
    </w:p>
    <w:bookmarkEnd w:id="3"/>
    <w:p w14:paraId="6986FCEA" w14:textId="77777777" w:rsidR="00003DC6" w:rsidRPr="00C774C2" w:rsidRDefault="00003DC6" w:rsidP="00003DC6">
      <w:pPr>
        <w:suppressAutoHyphens/>
        <w:spacing w:line="100" w:lineRule="atLeast"/>
        <w:contextualSpacing/>
        <w:jc w:val="both"/>
        <w:rPr>
          <w:rFonts w:ascii="Arial Narrow" w:eastAsia="Calibri" w:hAnsi="Arial Narrow" w:cs="Times New Roman"/>
          <w:i/>
          <w:u w:val="single"/>
          <w:lang w:eastAsia="ar-SA"/>
        </w:rPr>
      </w:pPr>
    </w:p>
    <w:p w14:paraId="7AA19497" w14:textId="6C62489F" w:rsidR="00003DC6" w:rsidRPr="00C774C2" w:rsidRDefault="00003DC6" w:rsidP="00003DC6">
      <w:pPr>
        <w:suppressAutoHyphens/>
        <w:spacing w:line="100" w:lineRule="atLeast"/>
        <w:contextualSpacing/>
        <w:jc w:val="both"/>
        <w:rPr>
          <w:rFonts w:ascii="Arial Narrow" w:eastAsia="Calibri" w:hAnsi="Arial Narrow" w:cs="Times New Roman"/>
          <w:i/>
          <w:u w:val="single"/>
          <w:lang w:eastAsia="ar-SA"/>
        </w:rPr>
      </w:pPr>
      <w:bookmarkStart w:id="4" w:name="_Hlk205990692"/>
      <w:r w:rsidRPr="00C774C2">
        <w:rPr>
          <w:rFonts w:ascii="Arial Narrow" w:eastAsia="Calibri" w:hAnsi="Arial Narrow" w:cs="Times New Roman"/>
          <w:i/>
          <w:u w:val="single"/>
          <w:lang w:eastAsia="ar-SA"/>
        </w:rPr>
        <w:t>Erläuterungen:</w:t>
      </w:r>
    </w:p>
    <w:bookmarkEnd w:id="4"/>
    <w:p w14:paraId="4BBBD600" w14:textId="0801A77E" w:rsidR="00CC3045" w:rsidRPr="00C774C2" w:rsidRDefault="00CC3045" w:rsidP="00E66D7A">
      <w:pPr>
        <w:suppressAutoHyphens/>
        <w:spacing w:line="100" w:lineRule="atLeast"/>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 xml:space="preserve">Bereits im Brandschutzbedarfsplan von 2021 war die Beschaffung eines neuen HLF 20 als Ersatz für den alten LF 16/12 (Baujahr 1997) </w:t>
      </w:r>
      <w:r w:rsidR="00310252" w:rsidRPr="00C774C2">
        <w:rPr>
          <w:rFonts w:ascii="Arial Narrow" w:eastAsia="Calibri" w:hAnsi="Arial Narrow" w:cs="Times New Roman"/>
          <w:i/>
          <w:lang w:eastAsia="ar-SA"/>
        </w:rPr>
        <w:t>der</w:t>
      </w:r>
      <w:r w:rsidRPr="00C774C2">
        <w:rPr>
          <w:rFonts w:ascii="Arial Narrow" w:eastAsia="Calibri" w:hAnsi="Arial Narrow" w:cs="Times New Roman"/>
          <w:i/>
          <w:lang w:eastAsia="ar-SA"/>
        </w:rPr>
        <w:t xml:space="preserve"> Ortsfeuerwehr Wittichenau in der Planungsperiode bis 2025 vorgesehen. </w:t>
      </w:r>
    </w:p>
    <w:p w14:paraId="0E5A9AE2" w14:textId="3CF41A10" w:rsidR="00310252" w:rsidRPr="00C774C2" w:rsidRDefault="00310252" w:rsidP="00E66D7A">
      <w:pPr>
        <w:suppressAutoHyphens/>
        <w:spacing w:line="100" w:lineRule="atLeast"/>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Aufgrund des zu erwartenden Wertumfangs war eine europaweite Ausschreibung notwendig. Voraussetzung war das vorherige Vorliegen einer Fördermittelzusage, die der Stadt im September 2024 in Höhe von 194.000,00 € zugegangen ist.</w:t>
      </w:r>
    </w:p>
    <w:p w14:paraId="2E628425" w14:textId="33A3E7E5" w:rsidR="00310252" w:rsidRPr="00C774C2" w:rsidRDefault="00310252" w:rsidP="00E66D7A">
      <w:pPr>
        <w:suppressAutoHyphens/>
        <w:spacing w:line="100" w:lineRule="atLeast"/>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Nach den entsprechenden Vorarbeiten für die Ausschreibung erfolgte diese am 12.06.2025. Die Angebotsfrist endete am 21.07.2025. Es ist nur ein Angebot eingegangen. Nach Prüfung dieses Angebotes durch die Verwaltung konnte dem Stadtrat, der nach § 6 der Hauptsatzung für Vergaben ab 300.000 € zuständig ist, die Annahme dieses Angebots empfohlen werden.</w:t>
      </w:r>
    </w:p>
    <w:p w14:paraId="1E8B8555" w14:textId="77777777" w:rsidR="002A50E6" w:rsidRPr="00C774C2" w:rsidRDefault="002A50E6" w:rsidP="00E66D7A">
      <w:pPr>
        <w:suppressAutoHyphens/>
        <w:spacing w:line="100" w:lineRule="atLeast"/>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lastRenderedPageBreak/>
        <w:t>Lt. Ausschreibung und Angebot beträgt die Lieferfrist 48 Monate ab Auftragserteilung. Das resultiert daraus, dass die Leistung aus drei Losen besteht:</w:t>
      </w:r>
    </w:p>
    <w:p w14:paraId="6986D343" w14:textId="77777777" w:rsidR="002A50E6" w:rsidRPr="00C774C2" w:rsidRDefault="002A50E6" w:rsidP="00E66D7A">
      <w:pPr>
        <w:suppressAutoHyphens/>
        <w:spacing w:line="100" w:lineRule="atLeast"/>
        <w:ind w:left="708"/>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Los 1 – Fahrgestell</w:t>
      </w:r>
    </w:p>
    <w:p w14:paraId="746392D2" w14:textId="77777777" w:rsidR="002A50E6" w:rsidRPr="00C774C2" w:rsidRDefault="002A50E6" w:rsidP="00E66D7A">
      <w:pPr>
        <w:suppressAutoHyphens/>
        <w:spacing w:line="100" w:lineRule="atLeast"/>
        <w:ind w:left="708"/>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Los 2 – Feuerwehrtechnischer Aufbau</w:t>
      </w:r>
    </w:p>
    <w:p w14:paraId="2B046831" w14:textId="77777777" w:rsidR="002A50E6" w:rsidRPr="00C774C2" w:rsidRDefault="002A50E6" w:rsidP="00E66D7A">
      <w:pPr>
        <w:suppressAutoHyphens/>
        <w:spacing w:line="100" w:lineRule="atLeast"/>
        <w:ind w:left="708"/>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Los 3 – Feuerwehrtechnische Beladung</w:t>
      </w:r>
    </w:p>
    <w:p w14:paraId="631DFAD6" w14:textId="5872E70F" w:rsidR="002A50E6" w:rsidRPr="00C774C2" w:rsidRDefault="002A50E6" w:rsidP="00E66D7A">
      <w:pPr>
        <w:suppressAutoHyphens/>
        <w:spacing w:line="100" w:lineRule="atLeast"/>
        <w:contextualSpacing/>
        <w:jc w:val="both"/>
        <w:rPr>
          <w:rFonts w:ascii="Arial Narrow" w:eastAsia="Calibri" w:hAnsi="Arial Narrow" w:cs="Times New Roman"/>
          <w:i/>
          <w:lang w:eastAsia="ar-SA"/>
        </w:rPr>
      </w:pPr>
      <w:r w:rsidRPr="00C774C2">
        <w:rPr>
          <w:rFonts w:ascii="Arial Narrow" w:eastAsia="Calibri" w:hAnsi="Arial Narrow" w:cs="Times New Roman"/>
          <w:i/>
          <w:lang w:eastAsia="ar-SA"/>
        </w:rPr>
        <w:t xml:space="preserve">Dementsprechend erfolgt auch die Bezahlung in Teilbeträgen. Dies ist bereits in der mehrjährigen </w:t>
      </w:r>
      <w:r w:rsidR="00310252" w:rsidRPr="00C774C2">
        <w:rPr>
          <w:rFonts w:ascii="Arial Narrow" w:eastAsia="Calibri" w:hAnsi="Arial Narrow" w:cs="Times New Roman"/>
          <w:i/>
          <w:lang w:eastAsia="ar-SA"/>
        </w:rPr>
        <w:t xml:space="preserve">städtischen </w:t>
      </w:r>
      <w:r w:rsidRPr="00C774C2">
        <w:rPr>
          <w:rFonts w:ascii="Arial Narrow" w:eastAsia="Calibri" w:hAnsi="Arial Narrow" w:cs="Times New Roman"/>
          <w:i/>
          <w:lang w:eastAsia="ar-SA"/>
        </w:rPr>
        <w:t>Finanzplanung berücksichtigt.</w:t>
      </w:r>
    </w:p>
    <w:p w14:paraId="102CD82F" w14:textId="77777777" w:rsidR="002A50E6" w:rsidRPr="00C774C2" w:rsidRDefault="002A50E6" w:rsidP="002A50E6">
      <w:pPr>
        <w:spacing w:after="0" w:line="240" w:lineRule="auto"/>
        <w:contextualSpacing/>
        <w:jc w:val="both"/>
        <w:rPr>
          <w:rFonts w:ascii="Arial Narrow" w:eastAsia="Times New Roman" w:hAnsi="Arial Narrow" w:cs="Times New Roman"/>
          <w:bCs/>
          <w:kern w:val="0"/>
          <w:szCs w:val="24"/>
          <w:lang w:eastAsia="de-DE"/>
          <w14:ligatures w14:val="none"/>
        </w:rPr>
      </w:pPr>
    </w:p>
    <w:p w14:paraId="1E645636" w14:textId="77777777" w:rsidR="00003DC6" w:rsidRPr="00C774C2" w:rsidRDefault="00003DC6" w:rsidP="00003DC6">
      <w:pPr>
        <w:spacing w:after="0" w:line="240" w:lineRule="auto"/>
        <w:contextualSpacing/>
        <w:jc w:val="both"/>
        <w:rPr>
          <w:rFonts w:ascii="Arial Narrow" w:hAnsi="Arial Narrow"/>
          <w:i/>
        </w:rPr>
      </w:pPr>
    </w:p>
    <w:p w14:paraId="0A4C0C3E" w14:textId="77777777" w:rsidR="00003DC6" w:rsidRPr="00C774C2" w:rsidRDefault="00003DC6" w:rsidP="00003DC6">
      <w:pPr>
        <w:spacing w:after="0" w:line="240" w:lineRule="auto"/>
        <w:contextualSpacing/>
        <w:jc w:val="both"/>
        <w:rPr>
          <w:rFonts w:ascii="Arial Narrow" w:hAnsi="Arial Narrow"/>
          <w:i/>
        </w:rPr>
      </w:pPr>
    </w:p>
    <w:p w14:paraId="66B3C820" w14:textId="7356E8C1"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03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3506EDDE"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bookmarkStart w:id="5" w:name="_Hlk195171434"/>
      <w:r w:rsidRPr="00C774C2">
        <w:rPr>
          <w:rFonts w:ascii="Arial Narrow" w:eastAsia="Times New Roman" w:hAnsi="Arial Narrow" w:cs="Times New Roman"/>
          <w:bCs/>
          <w:kern w:val="0"/>
          <w:sz w:val="24"/>
          <w:szCs w:val="24"/>
          <w:lang w:eastAsia="de-DE"/>
          <w14:ligatures w14:val="none"/>
        </w:rPr>
        <w:t xml:space="preserve">Der Stadtrat der Stadt Wittichenau stimmt dem Verkauf einer Teilfläche von ca. 1.919 m² des Grundstücks Gemarkung </w:t>
      </w:r>
      <w:proofErr w:type="spellStart"/>
      <w:r w:rsidRPr="00C774C2">
        <w:rPr>
          <w:rFonts w:ascii="Arial Narrow" w:eastAsia="Times New Roman" w:hAnsi="Arial Narrow" w:cs="Times New Roman"/>
          <w:bCs/>
          <w:kern w:val="0"/>
          <w:sz w:val="24"/>
          <w:szCs w:val="24"/>
          <w:lang w:eastAsia="de-DE"/>
          <w14:ligatures w14:val="none"/>
        </w:rPr>
        <w:t>Brischko</w:t>
      </w:r>
      <w:proofErr w:type="spellEnd"/>
      <w:r w:rsidRPr="00C774C2">
        <w:rPr>
          <w:rFonts w:ascii="Arial Narrow" w:eastAsia="Times New Roman" w:hAnsi="Arial Narrow" w:cs="Times New Roman"/>
          <w:bCs/>
          <w:kern w:val="0"/>
          <w:sz w:val="24"/>
          <w:szCs w:val="24"/>
          <w:lang w:eastAsia="de-DE"/>
          <w14:ligatures w14:val="none"/>
        </w:rPr>
        <w:t xml:space="preserve"> Flur 1, Flurstück 203/23 zu einem Preis von 30,00 €/m² zu. Im Kaufpreis enthalten sind der Abwasserbeitrag sowie der Erschließungsbeitrag. </w:t>
      </w:r>
    </w:p>
    <w:p w14:paraId="65E021E8"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r w:rsidRPr="00C774C2">
        <w:rPr>
          <w:rFonts w:ascii="Arial Narrow" w:eastAsia="Times New Roman" w:hAnsi="Arial Narrow" w:cs="Times New Roman"/>
          <w:bCs/>
          <w:kern w:val="0"/>
          <w:sz w:val="24"/>
          <w:szCs w:val="24"/>
          <w:lang w:eastAsia="de-DE"/>
          <w14:ligatures w14:val="none"/>
        </w:rPr>
        <w:t>Der Bürgermeister oder ein von ihm Bevollmächtigter wird mit dem Abschluss des notariellen Kaufvertrages sowie dessen Vollzug beauftragt.</w:t>
      </w:r>
    </w:p>
    <w:p w14:paraId="6281AD53"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r w:rsidRPr="00C774C2">
        <w:rPr>
          <w:rFonts w:ascii="Arial Narrow" w:eastAsia="Times New Roman" w:hAnsi="Arial Narrow" w:cs="Times New Roman"/>
          <w:bCs/>
          <w:kern w:val="0"/>
          <w:sz w:val="24"/>
          <w:szCs w:val="24"/>
          <w:lang w:eastAsia="de-DE"/>
          <w14:ligatures w14:val="none"/>
        </w:rPr>
        <w:t xml:space="preserve">Die anfallenden Kosten des Vertrages und seiner Durchführung trägt der Erwerber. </w:t>
      </w:r>
    </w:p>
    <w:bookmarkEnd w:id="5"/>
    <w:p w14:paraId="23E34682" w14:textId="77777777" w:rsidR="000F426F" w:rsidRPr="00C774C2" w:rsidRDefault="000F426F" w:rsidP="000F426F">
      <w:pPr>
        <w:spacing w:after="0" w:line="240" w:lineRule="auto"/>
        <w:jc w:val="both"/>
        <w:rPr>
          <w:rFonts w:ascii="Arial Narrow" w:eastAsia="Times New Roman" w:hAnsi="Arial Narrow" w:cs="Times New Roman"/>
          <w:i/>
          <w:kern w:val="0"/>
          <w:szCs w:val="24"/>
          <w:u w:val="single"/>
          <w:lang w:eastAsia="de-DE"/>
          <w14:ligatures w14:val="none"/>
        </w:rPr>
      </w:pPr>
    </w:p>
    <w:p w14:paraId="4F6BE152" w14:textId="77777777" w:rsidR="000F426F" w:rsidRPr="00C774C2" w:rsidRDefault="000F426F" w:rsidP="000F426F">
      <w:pPr>
        <w:suppressAutoHyphens/>
        <w:spacing w:line="100" w:lineRule="atLeast"/>
        <w:contextualSpacing/>
        <w:jc w:val="both"/>
        <w:rPr>
          <w:rFonts w:ascii="Arial Narrow" w:eastAsia="Calibri" w:hAnsi="Arial Narrow" w:cs="Times New Roman"/>
          <w:i/>
          <w:u w:val="single"/>
          <w:lang w:eastAsia="ar-SA"/>
        </w:rPr>
      </w:pPr>
      <w:r w:rsidRPr="00C774C2">
        <w:rPr>
          <w:rFonts w:ascii="Arial Narrow" w:eastAsia="Calibri" w:hAnsi="Arial Narrow" w:cs="Times New Roman"/>
          <w:i/>
          <w:u w:val="single"/>
          <w:lang w:eastAsia="ar-SA"/>
        </w:rPr>
        <w:t>Erläuterungen:</w:t>
      </w:r>
    </w:p>
    <w:p w14:paraId="396A6894" w14:textId="638399AA" w:rsidR="002A50E6" w:rsidRPr="00C774C2" w:rsidRDefault="002A50E6" w:rsidP="00F65383">
      <w:pPr>
        <w:contextualSpacing/>
        <w:jc w:val="both"/>
        <w:rPr>
          <w:rFonts w:ascii="Arial Narrow" w:eastAsia="Calibri" w:hAnsi="Arial Narrow" w:cs="Times New Roman"/>
          <w:i/>
          <w:iCs/>
          <w:kern w:val="0"/>
          <w14:ligatures w14:val="none"/>
        </w:rPr>
      </w:pPr>
      <w:r w:rsidRPr="00C774C2">
        <w:rPr>
          <w:rFonts w:ascii="Arial Narrow" w:eastAsia="Calibri" w:hAnsi="Arial Narrow" w:cs="Times New Roman"/>
          <w:i/>
          <w:iCs/>
          <w:kern w:val="0"/>
          <w14:ligatures w14:val="none"/>
        </w:rPr>
        <w:t>D</w:t>
      </w:r>
      <w:r w:rsidR="00E66D7A" w:rsidRPr="00C774C2">
        <w:rPr>
          <w:rFonts w:ascii="Arial Narrow" w:eastAsia="Calibri" w:hAnsi="Arial Narrow" w:cs="Times New Roman"/>
          <w:i/>
          <w:iCs/>
          <w:kern w:val="0"/>
          <w14:ligatures w14:val="none"/>
        </w:rPr>
        <w:t xml:space="preserve">as betreffende Grundstück </w:t>
      </w:r>
      <w:r w:rsidRPr="00C774C2">
        <w:rPr>
          <w:rFonts w:ascii="Arial Narrow" w:eastAsia="Calibri" w:hAnsi="Arial Narrow" w:cs="Times New Roman"/>
          <w:i/>
          <w:iCs/>
          <w:kern w:val="0"/>
          <w14:ligatures w14:val="none"/>
        </w:rPr>
        <w:t xml:space="preserve">befindet sich </w:t>
      </w:r>
      <w:r w:rsidR="00E66D7A" w:rsidRPr="00C774C2">
        <w:rPr>
          <w:rFonts w:ascii="Arial Narrow" w:eastAsia="Calibri" w:hAnsi="Arial Narrow" w:cs="Times New Roman"/>
          <w:i/>
          <w:iCs/>
          <w:kern w:val="0"/>
          <w14:ligatures w14:val="none"/>
        </w:rPr>
        <w:t>hinter dem</w:t>
      </w:r>
      <w:r w:rsidRPr="00C774C2">
        <w:rPr>
          <w:rFonts w:ascii="Arial Narrow" w:eastAsia="Calibri" w:hAnsi="Arial Narrow" w:cs="Times New Roman"/>
          <w:i/>
          <w:iCs/>
          <w:kern w:val="0"/>
          <w14:ligatures w14:val="none"/>
        </w:rPr>
        <w:t xml:space="preserve"> jetzigen Gewerbestandort Gewerbepark 42. Gemäß § 28 Sächsische Gemeindeordnung i. V. m. § 9 Abs. 2 der Hauptsatzung der Stadt Wittichenau ist der Stadtrat bei Entscheidungen zur Veräußerung von Grundeigentum im Wert ab 5.000 </w:t>
      </w:r>
      <w:r w:rsidR="00E66D7A" w:rsidRPr="00C774C2">
        <w:rPr>
          <w:rFonts w:ascii="Arial Narrow" w:eastAsia="Calibri" w:hAnsi="Arial Narrow" w:cs="Times New Roman"/>
          <w:i/>
          <w:iCs/>
          <w:kern w:val="0"/>
          <w14:ligatures w14:val="none"/>
        </w:rPr>
        <w:t>€</w:t>
      </w:r>
      <w:r w:rsidRPr="00C774C2">
        <w:rPr>
          <w:rFonts w:ascii="Arial Narrow" w:eastAsia="Calibri" w:hAnsi="Arial Narrow" w:cs="Times New Roman"/>
          <w:i/>
          <w:iCs/>
          <w:kern w:val="0"/>
          <w14:ligatures w14:val="none"/>
        </w:rPr>
        <w:t xml:space="preserve"> zuständig.</w:t>
      </w:r>
      <w:r w:rsidR="0054216E" w:rsidRPr="00C774C2">
        <w:rPr>
          <w:rFonts w:ascii="Arial Narrow" w:eastAsia="Calibri" w:hAnsi="Arial Narrow" w:cs="Times New Roman"/>
          <w:i/>
          <w:iCs/>
          <w:kern w:val="0"/>
          <w14:ligatures w14:val="none"/>
        </w:rPr>
        <w:t xml:space="preserve"> Der Erwerber beabsichtigt die Errichtung eines Bürogebäudes mit einer Betriebswohnung. </w:t>
      </w:r>
    </w:p>
    <w:p w14:paraId="6384FA4B" w14:textId="77777777" w:rsidR="00003DC6" w:rsidRPr="00C774C2"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p>
    <w:p w14:paraId="1148CFA2" w14:textId="77777777" w:rsidR="000F426F" w:rsidRPr="00C774C2" w:rsidRDefault="000F426F" w:rsidP="00003DC6">
      <w:pPr>
        <w:suppressAutoHyphens/>
        <w:spacing w:after="0" w:line="100" w:lineRule="atLeast"/>
        <w:rPr>
          <w:rFonts w:ascii="Arial Narrow" w:eastAsia="Calibri" w:hAnsi="Arial Narrow" w:cs="Times New Roman"/>
          <w:kern w:val="0"/>
          <w:sz w:val="24"/>
          <w:szCs w:val="24"/>
          <w:lang w:eastAsia="ar-SA"/>
          <w14:ligatures w14:val="none"/>
        </w:rPr>
      </w:pPr>
    </w:p>
    <w:p w14:paraId="7F82F213" w14:textId="03F98C81"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04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553B2715"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bookmarkStart w:id="6" w:name="_Hlk195171457"/>
      <w:r w:rsidRPr="00C774C2">
        <w:rPr>
          <w:rFonts w:ascii="Arial Narrow" w:eastAsia="Times New Roman" w:hAnsi="Arial Narrow" w:cs="Times New Roman"/>
          <w:bCs/>
          <w:kern w:val="0"/>
          <w:sz w:val="24"/>
          <w:szCs w:val="24"/>
          <w:lang w:eastAsia="de-DE"/>
          <w14:ligatures w14:val="none"/>
        </w:rPr>
        <w:t>Der Stadtrat der Stadt Wittichenau beschließt den Erwerb der in der beigefügten Anlage gekennzeichneten Fläche von ca. 12.000 m² als außerplanmäßige Ausgabe. Die Gesamtkosten des Grunderwerbs belaufen sich auf ca. 150.000 EUR. Die Finanzierung erfolgt teilweise aus Mehreinnahmen aus Grundstücksverkäufen sowie aus der Rücklage der Stadt. Die anfallenden Kosten des Vertrages und seiner Durchführung trägt der Erwerber. Der Bürgermeister oder ein von ihm Bevollmächtigter wird mit dem Abschluss des notariellen Kaufvertrages sowie dessen Vollzug beauftragt.</w:t>
      </w:r>
    </w:p>
    <w:bookmarkEnd w:id="6"/>
    <w:p w14:paraId="59573CC0"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p>
    <w:p w14:paraId="63270636" w14:textId="77777777" w:rsidR="000F426F" w:rsidRPr="00C774C2" w:rsidRDefault="000F426F" w:rsidP="000F426F">
      <w:pPr>
        <w:suppressAutoHyphens/>
        <w:spacing w:line="100" w:lineRule="atLeast"/>
        <w:contextualSpacing/>
        <w:jc w:val="both"/>
        <w:rPr>
          <w:rFonts w:ascii="Arial Narrow" w:eastAsia="Calibri" w:hAnsi="Arial Narrow" w:cs="Times New Roman"/>
          <w:i/>
          <w:u w:val="single"/>
          <w:lang w:eastAsia="ar-SA"/>
        </w:rPr>
      </w:pPr>
      <w:r w:rsidRPr="00C774C2">
        <w:rPr>
          <w:rFonts w:ascii="Arial Narrow" w:eastAsia="Calibri" w:hAnsi="Arial Narrow" w:cs="Times New Roman"/>
          <w:i/>
          <w:u w:val="single"/>
          <w:lang w:eastAsia="ar-SA"/>
        </w:rPr>
        <w:t>Erläuterungen:</w:t>
      </w:r>
    </w:p>
    <w:p w14:paraId="6643C399" w14:textId="77777777" w:rsidR="00191F66" w:rsidRPr="009C3949" w:rsidRDefault="00191F66" w:rsidP="009C3949">
      <w:pPr>
        <w:contextualSpacing/>
        <w:jc w:val="both"/>
        <w:rPr>
          <w:rFonts w:ascii="Arial Narrow" w:eastAsia="Calibri" w:hAnsi="Arial Narrow" w:cs="Times New Roman"/>
          <w:i/>
          <w:iCs/>
          <w:kern w:val="0"/>
          <w14:ligatures w14:val="none"/>
        </w:rPr>
      </w:pPr>
      <w:r w:rsidRPr="009C3949">
        <w:rPr>
          <w:rFonts w:ascii="Arial Narrow" w:eastAsia="Calibri" w:hAnsi="Arial Narrow" w:cs="Times New Roman"/>
          <w:i/>
          <w:iCs/>
          <w:kern w:val="0"/>
          <w14:ligatures w14:val="none"/>
        </w:rPr>
        <w:t xml:space="preserve">Im Flächennutzungsplan der Stadt Wittichenau aus dem Jahr 1998 war der Bereich hinter der Tankstelle Richtung Ortsausgang für eine Bebauung vorgesehen. </w:t>
      </w:r>
    </w:p>
    <w:p w14:paraId="35A6552D" w14:textId="0CDBC5E6" w:rsidR="00191F66" w:rsidRPr="009C3949" w:rsidRDefault="00191F66" w:rsidP="009C3949">
      <w:pPr>
        <w:contextualSpacing/>
        <w:jc w:val="both"/>
        <w:rPr>
          <w:rFonts w:ascii="Arial Narrow" w:eastAsia="Calibri" w:hAnsi="Arial Narrow" w:cs="Times New Roman"/>
          <w:i/>
          <w:iCs/>
          <w:kern w:val="0"/>
          <w14:ligatures w14:val="none"/>
        </w:rPr>
      </w:pPr>
      <w:r w:rsidRPr="009C3949">
        <w:rPr>
          <w:rFonts w:ascii="Arial Narrow" w:eastAsia="Calibri" w:hAnsi="Arial Narrow" w:cs="Times New Roman"/>
          <w:i/>
          <w:iCs/>
          <w:kern w:val="0"/>
          <w14:ligatures w14:val="none"/>
        </w:rPr>
        <w:t>In der Stadtratssitzung am 21.01.2015 wurde die Ausübung des Vorkaufsrechts für das Flurstück 68 der Gemarkung Wittichenau Flur 8 beschlossen.</w:t>
      </w:r>
    </w:p>
    <w:p w14:paraId="2D043CFD" w14:textId="77777777" w:rsidR="00191F66" w:rsidRPr="009C3949" w:rsidRDefault="00191F66" w:rsidP="009C3949">
      <w:pPr>
        <w:contextualSpacing/>
        <w:jc w:val="both"/>
        <w:rPr>
          <w:rFonts w:ascii="Arial Narrow" w:eastAsia="Calibri" w:hAnsi="Arial Narrow" w:cs="Times New Roman"/>
          <w:i/>
          <w:iCs/>
          <w:kern w:val="0"/>
          <w14:ligatures w14:val="none"/>
        </w:rPr>
      </w:pPr>
      <w:r w:rsidRPr="009C3949">
        <w:rPr>
          <w:rFonts w:ascii="Arial Narrow" w:eastAsia="Calibri" w:hAnsi="Arial Narrow" w:cs="Times New Roman"/>
          <w:i/>
          <w:iCs/>
          <w:kern w:val="0"/>
          <w14:ligatures w14:val="none"/>
        </w:rPr>
        <w:t xml:space="preserve">Nunmehr konnte mit dem Eigentümer des benachbarten Grundstücks eine Grundstücksveräußerung vereinbart werden. Nach Realisierung eines notariellen Kaufvertrages und baulichen Maßnahmen zur Grundstückserschließung ergäbe sich die Möglichkeit zu Schaffung von ca. 10 – 12 Baustellen. </w:t>
      </w:r>
    </w:p>
    <w:p w14:paraId="491E7D3C" w14:textId="0E8A9F1A" w:rsidR="00191F66" w:rsidRPr="009C3949" w:rsidRDefault="00191F66" w:rsidP="009C3949">
      <w:pPr>
        <w:contextualSpacing/>
        <w:jc w:val="both"/>
        <w:rPr>
          <w:rFonts w:ascii="Arial Narrow" w:eastAsia="Calibri" w:hAnsi="Arial Narrow" w:cs="Times New Roman"/>
          <w:i/>
          <w:iCs/>
          <w:kern w:val="0"/>
          <w14:ligatures w14:val="none"/>
        </w:rPr>
      </w:pPr>
      <w:r w:rsidRPr="009C3949">
        <w:rPr>
          <w:rFonts w:ascii="Arial Narrow" w:eastAsia="Calibri" w:hAnsi="Arial Narrow" w:cs="Times New Roman"/>
          <w:i/>
          <w:iCs/>
          <w:kern w:val="0"/>
          <w14:ligatures w14:val="none"/>
        </w:rPr>
        <w:t>Hinsichtlich der konkreten Erschließung des Areals gibt es bislang noch keinen Entscheidungsvorschlag.</w:t>
      </w:r>
    </w:p>
    <w:p w14:paraId="31B73120" w14:textId="2C726BF7" w:rsidR="00191F66" w:rsidRPr="009C3949" w:rsidRDefault="00191F66" w:rsidP="009C3949">
      <w:pPr>
        <w:contextualSpacing/>
        <w:jc w:val="both"/>
        <w:rPr>
          <w:rFonts w:ascii="Arial Narrow" w:eastAsia="Calibri" w:hAnsi="Arial Narrow" w:cs="Times New Roman"/>
          <w:i/>
          <w:iCs/>
          <w:kern w:val="0"/>
          <w14:ligatures w14:val="none"/>
        </w:rPr>
      </w:pPr>
      <w:r w:rsidRPr="009C3949">
        <w:rPr>
          <w:rFonts w:ascii="Arial Narrow" w:eastAsia="Calibri" w:hAnsi="Arial Narrow" w:cs="Times New Roman"/>
          <w:i/>
          <w:iCs/>
          <w:kern w:val="0"/>
          <w14:ligatures w14:val="none"/>
        </w:rPr>
        <w:t>Die Finanzierung erfolgt entsprechend der Beschlussvorlage aus der Einnahme aus dem vorhergehenden Beschluss sowie Entnahme aus der Rücklage.</w:t>
      </w:r>
    </w:p>
    <w:p w14:paraId="4D2E6655" w14:textId="77777777" w:rsidR="007661DC" w:rsidRPr="009C3949" w:rsidRDefault="007661DC" w:rsidP="009C3949">
      <w:pPr>
        <w:contextualSpacing/>
        <w:jc w:val="both"/>
        <w:rPr>
          <w:rFonts w:ascii="Arial Narrow" w:eastAsia="Calibri" w:hAnsi="Arial Narrow" w:cs="Times New Roman"/>
          <w:i/>
          <w:iCs/>
          <w:kern w:val="0"/>
          <w14:ligatures w14:val="none"/>
        </w:rPr>
      </w:pPr>
    </w:p>
    <w:p w14:paraId="047DA4C7" w14:textId="77777777" w:rsidR="000F426F" w:rsidRPr="00C774C2" w:rsidRDefault="000F426F" w:rsidP="000F426F">
      <w:pPr>
        <w:spacing w:after="0" w:line="240" w:lineRule="auto"/>
        <w:rPr>
          <w:rFonts w:ascii="Arial Narrow" w:eastAsia="Times New Roman" w:hAnsi="Arial Narrow" w:cs="Times New Roman"/>
          <w:bCs/>
          <w:kern w:val="0"/>
          <w:sz w:val="24"/>
          <w:szCs w:val="24"/>
          <w:lang w:eastAsia="de-DE"/>
          <w14:ligatures w14:val="none"/>
        </w:rPr>
      </w:pPr>
    </w:p>
    <w:p w14:paraId="4AC2511A" w14:textId="77777777"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p>
    <w:p w14:paraId="1BAE3BB9" w14:textId="0429A6F3"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05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62001B24" w14:textId="77777777" w:rsidR="000F426F" w:rsidRPr="00C774C2" w:rsidRDefault="000F426F" w:rsidP="000F426F">
      <w:pPr>
        <w:spacing w:after="0" w:line="240" w:lineRule="auto"/>
        <w:jc w:val="both"/>
        <w:rPr>
          <w:rFonts w:ascii="Arial Narrow" w:eastAsia="Times New Roman" w:hAnsi="Arial Narrow" w:cs="Times New Roman"/>
          <w:bCs/>
          <w:kern w:val="0"/>
          <w:sz w:val="24"/>
          <w:szCs w:val="24"/>
          <w:lang w:eastAsia="de-DE"/>
          <w14:ligatures w14:val="none"/>
        </w:rPr>
      </w:pPr>
      <w:r w:rsidRPr="00C774C2">
        <w:rPr>
          <w:rFonts w:ascii="Arial Narrow" w:eastAsia="Times New Roman" w:hAnsi="Arial Narrow" w:cs="Times New Roman"/>
          <w:bCs/>
          <w:kern w:val="0"/>
          <w:sz w:val="24"/>
          <w:szCs w:val="24"/>
          <w:lang w:eastAsia="de-DE"/>
          <w14:ligatures w14:val="none"/>
        </w:rPr>
        <w:t>Der Stadtrat der Stadt Wittichenau beschließt die Neufassung des Abwasserbeseitigungskonzeptes (ABK) der Stadt Wittichenau als abwasserbeseitigungspflichtige Körperschaft in der vorliegenden Entwurfsfassung vom 01.07.2025.</w:t>
      </w:r>
    </w:p>
    <w:p w14:paraId="06C0AACD" w14:textId="77777777" w:rsidR="00003DC6" w:rsidRPr="00C774C2"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p>
    <w:p w14:paraId="117F2347" w14:textId="77777777" w:rsidR="000F426F" w:rsidRPr="00C774C2" w:rsidRDefault="000F426F" w:rsidP="000F426F">
      <w:pPr>
        <w:suppressAutoHyphens/>
        <w:spacing w:line="100" w:lineRule="atLeast"/>
        <w:contextualSpacing/>
        <w:jc w:val="both"/>
        <w:rPr>
          <w:rFonts w:ascii="Arial Narrow" w:eastAsia="Calibri" w:hAnsi="Arial Narrow" w:cs="Times New Roman"/>
          <w:i/>
          <w:u w:val="single"/>
          <w:lang w:eastAsia="ar-SA"/>
        </w:rPr>
      </w:pPr>
      <w:r w:rsidRPr="00C774C2">
        <w:rPr>
          <w:rFonts w:ascii="Arial Narrow" w:eastAsia="Calibri" w:hAnsi="Arial Narrow" w:cs="Times New Roman"/>
          <w:i/>
          <w:u w:val="single"/>
          <w:lang w:eastAsia="ar-SA"/>
        </w:rPr>
        <w:t>Erläuterungen:</w:t>
      </w:r>
    </w:p>
    <w:p w14:paraId="557DE791" w14:textId="2950BA22" w:rsidR="00E11B9F" w:rsidRPr="00C774C2" w:rsidRDefault="002A50E6" w:rsidP="00F65383">
      <w:pPr>
        <w:spacing w:after="0" w:line="240" w:lineRule="auto"/>
        <w:jc w:val="both"/>
        <w:rPr>
          <w:rFonts w:ascii="Arial Narrow" w:hAnsi="Arial Narrow"/>
          <w:i/>
          <w:iCs/>
        </w:rPr>
      </w:pPr>
      <w:r w:rsidRPr="00C774C2">
        <w:rPr>
          <w:rFonts w:ascii="Arial Narrow" w:hAnsi="Arial Narrow"/>
          <w:i/>
          <w:iCs/>
        </w:rPr>
        <w:t xml:space="preserve">In § 51 des Sächsischen Wassergesetzes </w:t>
      </w:r>
      <w:r w:rsidR="00915D56" w:rsidRPr="00C774C2">
        <w:rPr>
          <w:rFonts w:ascii="Arial Narrow" w:hAnsi="Arial Narrow"/>
          <w:i/>
          <w:iCs/>
        </w:rPr>
        <w:t>(</w:t>
      </w:r>
      <w:proofErr w:type="spellStart"/>
      <w:r w:rsidR="00915D56" w:rsidRPr="00C774C2">
        <w:rPr>
          <w:rFonts w:ascii="Arial Narrow" w:hAnsi="Arial Narrow"/>
          <w:i/>
          <w:iCs/>
        </w:rPr>
        <w:t>SächsWG</w:t>
      </w:r>
      <w:proofErr w:type="spellEnd"/>
      <w:r w:rsidR="00915D56" w:rsidRPr="00C774C2">
        <w:rPr>
          <w:rFonts w:ascii="Arial Narrow" w:hAnsi="Arial Narrow"/>
          <w:i/>
          <w:iCs/>
        </w:rPr>
        <w:t xml:space="preserve">) </w:t>
      </w:r>
      <w:r w:rsidRPr="00C774C2">
        <w:rPr>
          <w:rFonts w:ascii="Arial Narrow" w:hAnsi="Arial Narrow"/>
          <w:i/>
          <w:iCs/>
        </w:rPr>
        <w:t xml:space="preserve">ist geregelt, dass die abwasserbeseitigungspflichtigen Körperschaften für ihr jeweiliges Entsorgungsgebiet ein Abwasserbeseitigungskonzept (ABK) aufstellen und der </w:t>
      </w:r>
      <w:r w:rsidRPr="00C774C2">
        <w:rPr>
          <w:rFonts w:ascii="Arial Narrow" w:hAnsi="Arial Narrow"/>
          <w:i/>
          <w:iCs/>
        </w:rPr>
        <w:lastRenderedPageBreak/>
        <w:t>zuständigen Wasserbehörde vorlegen müssen.</w:t>
      </w:r>
      <w:r w:rsidR="00E11B9F" w:rsidRPr="00C774C2">
        <w:rPr>
          <w:rFonts w:ascii="Arial Narrow" w:hAnsi="Arial Narrow"/>
          <w:i/>
          <w:iCs/>
        </w:rPr>
        <w:t xml:space="preserve"> Dieses </w:t>
      </w:r>
      <w:r w:rsidR="00B539DD" w:rsidRPr="00C774C2">
        <w:rPr>
          <w:rFonts w:ascii="Arial Narrow" w:hAnsi="Arial Narrow"/>
          <w:i/>
          <w:iCs/>
        </w:rPr>
        <w:t xml:space="preserve">ABK </w:t>
      </w:r>
      <w:r w:rsidR="00E11B9F" w:rsidRPr="00C774C2">
        <w:rPr>
          <w:rFonts w:ascii="Arial Narrow" w:hAnsi="Arial Narrow"/>
          <w:i/>
          <w:iCs/>
        </w:rPr>
        <w:t xml:space="preserve">soll die wesentlichen vorhandenen und geplanten Anlagen benennen und darstellen, welche Teile des Entsorgungsgebiet </w:t>
      </w:r>
      <w:r w:rsidR="00F65383" w:rsidRPr="00C774C2">
        <w:rPr>
          <w:rFonts w:ascii="Arial Narrow" w:hAnsi="Arial Narrow"/>
          <w:i/>
          <w:iCs/>
        </w:rPr>
        <w:t>auf welche Art</w:t>
      </w:r>
      <w:r w:rsidR="00E11B9F" w:rsidRPr="00C774C2">
        <w:rPr>
          <w:rFonts w:ascii="Arial Narrow" w:hAnsi="Arial Narrow"/>
          <w:i/>
          <w:iCs/>
        </w:rPr>
        <w:t xml:space="preserve"> entsorgt werden (zentral oder dezentral, mit öffentlichen und/oder </w:t>
      </w:r>
      <w:r w:rsidR="00F65383" w:rsidRPr="00C774C2">
        <w:rPr>
          <w:rFonts w:ascii="Arial Narrow" w:hAnsi="Arial Narrow"/>
          <w:i/>
          <w:iCs/>
        </w:rPr>
        <w:t>private</w:t>
      </w:r>
      <w:r w:rsidR="00E11B9F" w:rsidRPr="00C774C2">
        <w:rPr>
          <w:rFonts w:ascii="Arial Narrow" w:hAnsi="Arial Narrow"/>
          <w:i/>
          <w:iCs/>
        </w:rPr>
        <w:t xml:space="preserve"> Anlagen; nur für Schmutzwasser oder auch für Niederschlagswasser).</w:t>
      </w:r>
    </w:p>
    <w:p w14:paraId="22C965EB" w14:textId="21FE009A" w:rsidR="002A50E6" w:rsidRPr="00C774C2" w:rsidRDefault="002A50E6" w:rsidP="00F65383">
      <w:pPr>
        <w:spacing w:after="0" w:line="240" w:lineRule="auto"/>
        <w:jc w:val="both"/>
        <w:rPr>
          <w:rFonts w:ascii="Arial Narrow" w:hAnsi="Arial Narrow"/>
          <w:i/>
          <w:iCs/>
        </w:rPr>
      </w:pPr>
      <w:r w:rsidRPr="00C774C2">
        <w:rPr>
          <w:rFonts w:ascii="Arial Narrow" w:hAnsi="Arial Narrow"/>
          <w:i/>
          <w:iCs/>
        </w:rPr>
        <w:t xml:space="preserve">Da das letzte ABK der Stadt Wittichenau – bis auf zwei kleine Textänderungen durch spätere Stadtratsbeschlüsse – aus dem Jahr 2007 stammt, ist es zu großen Teilen nicht mehr aktuell. </w:t>
      </w:r>
      <w:r w:rsidR="00E11B9F" w:rsidRPr="00C774C2">
        <w:rPr>
          <w:rFonts w:ascii="Arial Narrow" w:hAnsi="Arial Narrow"/>
          <w:i/>
          <w:iCs/>
        </w:rPr>
        <w:t xml:space="preserve">Es beinhaltet z.B. nicht, dass inzwischen </w:t>
      </w:r>
      <w:r w:rsidR="00F65383" w:rsidRPr="00C774C2">
        <w:rPr>
          <w:rFonts w:ascii="Arial Narrow" w:hAnsi="Arial Narrow"/>
          <w:i/>
          <w:iCs/>
        </w:rPr>
        <w:t xml:space="preserve">(seit 2016/2017) </w:t>
      </w:r>
      <w:r w:rsidR="00E11B9F" w:rsidRPr="00C774C2">
        <w:rPr>
          <w:rFonts w:ascii="Arial Narrow" w:hAnsi="Arial Narrow"/>
          <w:i/>
          <w:iCs/>
        </w:rPr>
        <w:t xml:space="preserve">alle dezentral entsorgten Wohngrundstücke über vollbiologische </w:t>
      </w:r>
      <w:r w:rsidR="00F65383" w:rsidRPr="00C774C2">
        <w:rPr>
          <w:rFonts w:ascii="Arial Narrow" w:hAnsi="Arial Narrow"/>
          <w:i/>
          <w:iCs/>
        </w:rPr>
        <w:t xml:space="preserve">private </w:t>
      </w:r>
      <w:r w:rsidR="00E11B9F" w:rsidRPr="00C774C2">
        <w:rPr>
          <w:rFonts w:ascii="Arial Narrow" w:hAnsi="Arial Narrow"/>
          <w:i/>
          <w:iCs/>
        </w:rPr>
        <w:t xml:space="preserve">Klein- oder Gruppenkläranlagen entsorgt werden und auch die </w:t>
      </w:r>
      <w:r w:rsidR="00F65383" w:rsidRPr="00C774C2">
        <w:rPr>
          <w:rFonts w:ascii="Arial Narrow" w:hAnsi="Arial Narrow"/>
          <w:i/>
          <w:iCs/>
        </w:rPr>
        <w:t xml:space="preserve">abflusslosen Gruben nur noch mit Dichtheitsnachweis betrieben werden. </w:t>
      </w:r>
      <w:r w:rsidRPr="00C774C2">
        <w:rPr>
          <w:rFonts w:ascii="Arial Narrow" w:hAnsi="Arial Narrow"/>
          <w:i/>
          <w:iCs/>
        </w:rPr>
        <w:t xml:space="preserve">Zudem berücksichtigt es nicht die </w:t>
      </w:r>
      <w:r w:rsidR="00F65383" w:rsidRPr="00C774C2">
        <w:rPr>
          <w:rFonts w:ascii="Arial Narrow" w:hAnsi="Arial Narrow"/>
          <w:i/>
          <w:iCs/>
        </w:rPr>
        <w:t xml:space="preserve">aktuell </w:t>
      </w:r>
      <w:r w:rsidRPr="00C774C2">
        <w:rPr>
          <w:rFonts w:ascii="Arial Narrow" w:hAnsi="Arial Narrow"/>
          <w:i/>
          <w:iCs/>
        </w:rPr>
        <w:t xml:space="preserve">in § 51 Abs. 1 </w:t>
      </w:r>
      <w:proofErr w:type="spellStart"/>
      <w:r w:rsidRPr="00C774C2">
        <w:rPr>
          <w:rFonts w:ascii="Arial Narrow" w:hAnsi="Arial Narrow"/>
          <w:i/>
          <w:iCs/>
        </w:rPr>
        <w:t>SächsWG</w:t>
      </w:r>
      <w:proofErr w:type="spellEnd"/>
      <w:r w:rsidRPr="00C774C2">
        <w:rPr>
          <w:rFonts w:ascii="Arial Narrow" w:hAnsi="Arial Narrow"/>
          <w:i/>
          <w:iCs/>
        </w:rPr>
        <w:t xml:space="preserve"> vorgegebene Gliederung.</w:t>
      </w:r>
    </w:p>
    <w:p w14:paraId="7569C9D3" w14:textId="2FEE80FE" w:rsidR="002A50E6" w:rsidRPr="00C774C2" w:rsidRDefault="002A50E6" w:rsidP="00F65383">
      <w:pPr>
        <w:spacing w:after="0" w:line="240" w:lineRule="auto"/>
        <w:jc w:val="both"/>
        <w:rPr>
          <w:rFonts w:ascii="Arial Narrow" w:hAnsi="Arial Narrow"/>
          <w:i/>
          <w:iCs/>
        </w:rPr>
      </w:pPr>
      <w:r w:rsidRPr="00C774C2">
        <w:rPr>
          <w:rFonts w:ascii="Arial Narrow" w:hAnsi="Arial Narrow"/>
          <w:i/>
          <w:iCs/>
        </w:rPr>
        <w:t>Daher wurde nun eine Neufassung erarbeitet</w:t>
      </w:r>
      <w:r w:rsidR="00915D56" w:rsidRPr="00C774C2">
        <w:rPr>
          <w:rFonts w:ascii="Arial Narrow" w:hAnsi="Arial Narrow"/>
          <w:i/>
          <w:iCs/>
        </w:rPr>
        <w:t>, die den aktuellen Stand der Abwasserentsorgung widerspiegelt</w:t>
      </w:r>
      <w:r w:rsidRPr="00C774C2">
        <w:rPr>
          <w:rFonts w:ascii="Arial Narrow" w:hAnsi="Arial Narrow"/>
          <w:i/>
          <w:iCs/>
        </w:rPr>
        <w:t>.</w:t>
      </w:r>
    </w:p>
    <w:p w14:paraId="17653AF6" w14:textId="77777777" w:rsidR="00003DC6" w:rsidRPr="00C774C2" w:rsidRDefault="00003DC6" w:rsidP="00F65383">
      <w:pPr>
        <w:suppressAutoHyphens/>
        <w:spacing w:after="0" w:line="100" w:lineRule="atLeast"/>
        <w:jc w:val="both"/>
        <w:rPr>
          <w:rFonts w:ascii="Arial Narrow" w:eastAsia="Times New Roman" w:hAnsi="Arial Narrow" w:cs="Times New Roman"/>
          <w:i/>
          <w:iCs/>
          <w:kern w:val="0"/>
          <w:lang w:eastAsia="de-DE"/>
          <w14:ligatures w14:val="none"/>
        </w:rPr>
      </w:pPr>
    </w:p>
    <w:p w14:paraId="2193A0D2" w14:textId="77777777" w:rsidR="00003DC6" w:rsidRPr="00C774C2" w:rsidRDefault="00003DC6" w:rsidP="00003DC6">
      <w:pPr>
        <w:suppressAutoHyphens/>
        <w:spacing w:after="0" w:line="100" w:lineRule="atLeast"/>
        <w:rPr>
          <w:rFonts w:ascii="Arial Narrow" w:eastAsia="Times New Roman" w:hAnsi="Arial Narrow" w:cs="Times New Roman"/>
          <w:i/>
          <w:kern w:val="0"/>
          <w:lang w:eastAsia="de-DE"/>
          <w14:ligatures w14:val="none"/>
        </w:rPr>
      </w:pPr>
    </w:p>
    <w:p w14:paraId="378D6DA2" w14:textId="22885432"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06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1083C978" w14:textId="77777777" w:rsidR="000F426F" w:rsidRPr="00C774C2" w:rsidRDefault="000F426F" w:rsidP="000F426F">
      <w:pPr>
        <w:spacing w:after="0" w:line="240" w:lineRule="auto"/>
        <w:rPr>
          <w:rFonts w:ascii="Arial Narrow" w:eastAsia="Times New Roman" w:hAnsi="Arial Narrow" w:cs="Times New Roman"/>
          <w:b/>
          <w:bCs/>
          <w:iCs/>
          <w:kern w:val="0"/>
          <w:sz w:val="24"/>
          <w:szCs w:val="24"/>
          <w:lang w:eastAsia="de-DE"/>
          <w14:ligatures w14:val="none"/>
        </w:rPr>
      </w:pPr>
      <w:r w:rsidRPr="00C774C2">
        <w:rPr>
          <w:rFonts w:ascii="Arial Narrow" w:eastAsia="Times New Roman" w:hAnsi="Arial Narrow" w:cs="Times New Roman"/>
          <w:b/>
          <w:bCs/>
          <w:iCs/>
          <w:kern w:val="0"/>
          <w:sz w:val="24"/>
          <w:szCs w:val="24"/>
          <w:lang w:eastAsia="de-DE"/>
          <w14:ligatures w14:val="none"/>
        </w:rPr>
        <w:t xml:space="preserve">B e s c h l u s </w:t>
      </w:r>
      <w:proofErr w:type="spellStart"/>
      <w:r w:rsidRPr="00C774C2">
        <w:rPr>
          <w:rFonts w:ascii="Arial Narrow" w:eastAsia="Times New Roman" w:hAnsi="Arial Narrow" w:cs="Times New Roman"/>
          <w:b/>
          <w:bCs/>
          <w:iCs/>
          <w:kern w:val="0"/>
          <w:sz w:val="24"/>
          <w:szCs w:val="24"/>
          <w:lang w:eastAsia="de-DE"/>
          <w14:ligatures w14:val="none"/>
        </w:rPr>
        <w:t>s</w:t>
      </w:r>
      <w:proofErr w:type="spellEnd"/>
      <w:r w:rsidRPr="00C774C2">
        <w:rPr>
          <w:rFonts w:ascii="Arial Narrow" w:eastAsia="Times New Roman" w:hAnsi="Arial Narrow" w:cs="Times New Roman"/>
          <w:b/>
          <w:bCs/>
          <w:iCs/>
          <w:kern w:val="0"/>
          <w:sz w:val="24"/>
          <w:szCs w:val="24"/>
          <w:lang w:eastAsia="de-DE"/>
          <w14:ligatures w14:val="none"/>
        </w:rPr>
        <w:t xml:space="preserve"> </w:t>
      </w:r>
    </w:p>
    <w:p w14:paraId="2AD4AF80" w14:textId="77777777" w:rsidR="000F426F" w:rsidRPr="00C774C2" w:rsidRDefault="000F426F" w:rsidP="000F426F">
      <w:pPr>
        <w:pBdr>
          <w:bottom w:val="single" w:sz="4" w:space="1" w:color="auto"/>
        </w:pBdr>
        <w:spacing w:after="0" w:line="240" w:lineRule="auto"/>
        <w:rPr>
          <w:rFonts w:ascii="Arial Narrow" w:eastAsia="Times New Roman" w:hAnsi="Arial Narrow" w:cs="Times New Roman"/>
          <w:b/>
          <w:bCs/>
          <w:iCs/>
          <w:kern w:val="0"/>
          <w:sz w:val="24"/>
          <w:szCs w:val="24"/>
          <w:lang w:eastAsia="de-DE"/>
          <w14:ligatures w14:val="none"/>
        </w:rPr>
      </w:pPr>
      <w:r w:rsidRPr="00C774C2">
        <w:rPr>
          <w:rFonts w:ascii="Arial Narrow" w:eastAsia="Times New Roman" w:hAnsi="Arial Narrow" w:cs="Times New Roman"/>
          <w:b/>
          <w:bCs/>
          <w:iCs/>
          <w:kern w:val="0"/>
          <w:sz w:val="24"/>
          <w:szCs w:val="24"/>
          <w:lang w:eastAsia="de-DE"/>
          <w14:ligatures w14:val="none"/>
        </w:rPr>
        <w:t>zur Änderung des Bebauungsplanes Kotten-Ost</w:t>
      </w:r>
    </w:p>
    <w:p w14:paraId="3C5D901A" w14:textId="77777777" w:rsidR="000F426F" w:rsidRPr="00C774C2" w:rsidRDefault="000F426F" w:rsidP="000F426F">
      <w:pPr>
        <w:pStyle w:val="Listenabsatz"/>
        <w:numPr>
          <w:ilvl w:val="0"/>
          <w:numId w:val="3"/>
        </w:numPr>
        <w:spacing w:after="0" w:line="240" w:lineRule="auto"/>
        <w:rPr>
          <w:rFonts w:ascii="Arial Narrow" w:eastAsia="Times New Roman" w:hAnsi="Arial Narrow" w:cs="Times New Roman"/>
          <w:iCs/>
          <w:kern w:val="0"/>
          <w:sz w:val="24"/>
          <w:szCs w:val="24"/>
          <w:lang w:eastAsia="de-DE"/>
          <w14:ligatures w14:val="none"/>
        </w:rPr>
      </w:pPr>
      <w:r w:rsidRPr="00C774C2">
        <w:rPr>
          <w:rFonts w:ascii="Arial Narrow" w:eastAsia="Times New Roman" w:hAnsi="Arial Narrow" w:cs="Times New Roman"/>
          <w:iCs/>
          <w:kern w:val="0"/>
          <w:sz w:val="24"/>
          <w:szCs w:val="24"/>
          <w:lang w:eastAsia="de-DE"/>
          <w14:ligatures w14:val="none"/>
        </w:rPr>
        <w:t>Der Stadtrat beschließt für den bestehenden Bebauungsplan Kotten – Ost die 3. Änderung gemäß § 2 Abs. 1 Satz 1 BauGB.</w:t>
      </w:r>
    </w:p>
    <w:p w14:paraId="6C6DFDAC" w14:textId="77777777" w:rsidR="000F426F" w:rsidRPr="00C774C2" w:rsidRDefault="000F426F" w:rsidP="000F426F">
      <w:pPr>
        <w:pStyle w:val="Listenabsatz"/>
        <w:numPr>
          <w:ilvl w:val="0"/>
          <w:numId w:val="3"/>
        </w:numPr>
        <w:spacing w:after="0" w:line="240" w:lineRule="auto"/>
        <w:rPr>
          <w:rFonts w:ascii="Arial Narrow" w:eastAsia="Times New Roman" w:hAnsi="Arial Narrow" w:cs="Times New Roman"/>
          <w:iCs/>
          <w:kern w:val="0"/>
          <w:sz w:val="24"/>
          <w:szCs w:val="24"/>
          <w:lang w:eastAsia="de-DE"/>
          <w14:ligatures w14:val="none"/>
        </w:rPr>
      </w:pPr>
      <w:r w:rsidRPr="00C774C2">
        <w:rPr>
          <w:rFonts w:ascii="Arial Narrow" w:eastAsia="Times New Roman" w:hAnsi="Arial Narrow" w:cs="Times New Roman"/>
          <w:iCs/>
          <w:kern w:val="0"/>
          <w:sz w:val="24"/>
          <w:szCs w:val="24"/>
          <w:lang w:eastAsia="de-DE"/>
          <w14:ligatures w14:val="none"/>
        </w:rPr>
        <w:t xml:space="preserve">Der Beschluss ist gemäß </w:t>
      </w:r>
      <w:bookmarkStart w:id="7" w:name="_Hlk204845298"/>
      <w:r w:rsidRPr="00C774C2">
        <w:rPr>
          <w:rFonts w:ascii="Arial Narrow" w:eastAsia="Times New Roman" w:hAnsi="Arial Narrow" w:cs="Times New Roman"/>
          <w:iCs/>
          <w:kern w:val="0"/>
          <w:sz w:val="24"/>
          <w:szCs w:val="24"/>
          <w:lang w:eastAsia="de-DE"/>
          <w14:ligatures w14:val="none"/>
        </w:rPr>
        <w:t xml:space="preserve">§ 2 Abs. 1 Satz 2 BauGB </w:t>
      </w:r>
      <w:bookmarkEnd w:id="7"/>
      <w:r w:rsidRPr="00C774C2">
        <w:rPr>
          <w:rFonts w:ascii="Arial Narrow" w:eastAsia="Times New Roman" w:hAnsi="Arial Narrow" w:cs="Times New Roman"/>
          <w:iCs/>
          <w:kern w:val="0"/>
          <w:sz w:val="24"/>
          <w:szCs w:val="24"/>
          <w:lang w:eastAsia="de-DE"/>
          <w14:ligatures w14:val="none"/>
        </w:rPr>
        <w:t>ortsüblich bekannt zu machen.</w:t>
      </w:r>
    </w:p>
    <w:p w14:paraId="52A9B395" w14:textId="77777777" w:rsidR="000F426F" w:rsidRPr="00C774C2" w:rsidRDefault="000F426F" w:rsidP="000F426F">
      <w:pPr>
        <w:spacing w:after="0" w:line="240" w:lineRule="auto"/>
        <w:rPr>
          <w:iCs/>
          <w:sz w:val="24"/>
          <w:szCs w:val="24"/>
        </w:rPr>
      </w:pPr>
    </w:p>
    <w:p w14:paraId="138B9102" w14:textId="77777777" w:rsidR="00003DC6" w:rsidRPr="00C774C2"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p>
    <w:p w14:paraId="6D5E61D9" w14:textId="624A69AB" w:rsidR="00003DC6" w:rsidRPr="00C774C2" w:rsidRDefault="00003DC6" w:rsidP="00003DC6">
      <w:pPr>
        <w:spacing w:after="0" w:line="240" w:lineRule="auto"/>
        <w:jc w:val="both"/>
        <w:rPr>
          <w:rFonts w:ascii="Arial Narrow" w:eastAsia="Times New Roman" w:hAnsi="Arial Narrow" w:cs="Times New Roman"/>
          <w:b/>
          <w:iCs/>
          <w:kern w:val="0"/>
          <w:sz w:val="24"/>
          <w:szCs w:val="24"/>
          <w:u w:val="single"/>
          <w:lang w:eastAsia="de-DE"/>
          <w14:ligatures w14:val="none"/>
        </w:rPr>
      </w:pPr>
      <w:r w:rsidRPr="00C774C2">
        <w:rPr>
          <w:rFonts w:ascii="Arial Narrow" w:eastAsia="Times New Roman" w:hAnsi="Arial Narrow" w:cs="Times New Roman"/>
          <w:b/>
          <w:iCs/>
          <w:kern w:val="0"/>
          <w:sz w:val="24"/>
          <w:szCs w:val="24"/>
          <w:u w:val="single"/>
          <w:lang w:eastAsia="de-DE"/>
          <w14:ligatures w14:val="none"/>
        </w:rPr>
        <w:t>Beschluss-Nr.  07 / 0</w:t>
      </w:r>
      <w:r w:rsidR="000F426F" w:rsidRPr="00C774C2">
        <w:rPr>
          <w:rFonts w:ascii="Arial Narrow" w:eastAsia="Times New Roman" w:hAnsi="Arial Narrow" w:cs="Times New Roman"/>
          <w:b/>
          <w:iCs/>
          <w:kern w:val="0"/>
          <w:sz w:val="24"/>
          <w:szCs w:val="24"/>
          <w:u w:val="single"/>
          <w:lang w:eastAsia="de-DE"/>
          <w14:ligatures w14:val="none"/>
        </w:rPr>
        <w:t>4</w:t>
      </w:r>
      <w:r w:rsidRPr="00C774C2">
        <w:rPr>
          <w:rFonts w:ascii="Arial Narrow" w:eastAsia="Times New Roman" w:hAnsi="Arial Narrow" w:cs="Times New Roman"/>
          <w:b/>
          <w:iCs/>
          <w:kern w:val="0"/>
          <w:sz w:val="24"/>
          <w:szCs w:val="24"/>
          <w:u w:val="single"/>
          <w:lang w:eastAsia="de-DE"/>
          <w14:ligatures w14:val="none"/>
        </w:rPr>
        <w:t xml:space="preserve"> / 2025</w:t>
      </w:r>
    </w:p>
    <w:p w14:paraId="201AD00C" w14:textId="77777777" w:rsidR="000F426F" w:rsidRPr="00C774C2" w:rsidRDefault="000F426F" w:rsidP="000F426F">
      <w:pPr>
        <w:pStyle w:val="KeinLeerraum"/>
        <w:rPr>
          <w:rFonts w:ascii="Arial Narrow" w:hAnsi="Arial Narrow"/>
          <w:b/>
          <w:bCs/>
          <w:sz w:val="24"/>
          <w:szCs w:val="24"/>
        </w:rPr>
      </w:pPr>
      <w:bookmarkStart w:id="8" w:name="_Hlk205989894"/>
      <w:r w:rsidRPr="00C774C2">
        <w:rPr>
          <w:rFonts w:ascii="Arial Narrow" w:hAnsi="Arial Narrow"/>
          <w:b/>
          <w:bCs/>
          <w:sz w:val="24"/>
          <w:szCs w:val="24"/>
        </w:rPr>
        <w:t xml:space="preserve">B e s c h l u s </w:t>
      </w:r>
      <w:proofErr w:type="spellStart"/>
      <w:r w:rsidRPr="00C774C2">
        <w:rPr>
          <w:rFonts w:ascii="Arial Narrow" w:hAnsi="Arial Narrow"/>
          <w:b/>
          <w:bCs/>
          <w:sz w:val="24"/>
          <w:szCs w:val="24"/>
        </w:rPr>
        <w:t>s</w:t>
      </w:r>
      <w:proofErr w:type="spellEnd"/>
      <w:r w:rsidRPr="00C774C2">
        <w:rPr>
          <w:rFonts w:ascii="Arial Narrow" w:hAnsi="Arial Narrow"/>
          <w:b/>
          <w:bCs/>
          <w:sz w:val="24"/>
          <w:szCs w:val="24"/>
        </w:rPr>
        <w:t xml:space="preserve"> </w:t>
      </w:r>
    </w:p>
    <w:p w14:paraId="3FAC2D95" w14:textId="77777777" w:rsidR="000F426F" w:rsidRPr="00C774C2" w:rsidRDefault="000F426F" w:rsidP="000F426F">
      <w:pPr>
        <w:pStyle w:val="KeinLeerraum"/>
        <w:pBdr>
          <w:bottom w:val="single" w:sz="4" w:space="1" w:color="auto"/>
        </w:pBdr>
        <w:rPr>
          <w:rFonts w:ascii="Arial Narrow" w:hAnsi="Arial Narrow"/>
          <w:b/>
          <w:bCs/>
          <w:sz w:val="24"/>
          <w:szCs w:val="24"/>
        </w:rPr>
      </w:pPr>
      <w:r w:rsidRPr="00C774C2">
        <w:rPr>
          <w:rFonts w:ascii="Arial Narrow" w:hAnsi="Arial Narrow"/>
          <w:b/>
          <w:bCs/>
          <w:sz w:val="24"/>
          <w:szCs w:val="24"/>
        </w:rPr>
        <w:t>zur Billigung und Offenlage der Änderung des Bebauungsplanes Kotten-Ost</w:t>
      </w:r>
    </w:p>
    <w:bookmarkEnd w:id="8"/>
    <w:p w14:paraId="4B5D8312" w14:textId="77777777" w:rsidR="000F426F" w:rsidRPr="00C774C2" w:rsidRDefault="000F426F" w:rsidP="000F426F">
      <w:pPr>
        <w:pStyle w:val="Listenabsatz"/>
        <w:numPr>
          <w:ilvl w:val="0"/>
          <w:numId w:val="4"/>
        </w:numPr>
        <w:spacing w:after="0" w:line="240" w:lineRule="auto"/>
        <w:ind w:left="426"/>
        <w:rPr>
          <w:rFonts w:ascii="Arial Narrow" w:hAnsi="Arial Narrow"/>
          <w:sz w:val="24"/>
          <w:szCs w:val="24"/>
        </w:rPr>
      </w:pPr>
      <w:r w:rsidRPr="00C774C2">
        <w:rPr>
          <w:rFonts w:ascii="Arial Narrow" w:hAnsi="Arial Narrow"/>
          <w:sz w:val="24"/>
          <w:szCs w:val="24"/>
        </w:rPr>
        <w:t>Der Stadtrat beschließt für den bestehenden Bebauungsplan Kotten – Ost die 3. Änderung als einfache textliche Änderung im Vereinfachten Verfahren gemäß § 13 Abs. 1 Satz 1 BauGB mit folgendem neuen Wortlaut:</w:t>
      </w:r>
    </w:p>
    <w:p w14:paraId="5D7A307D" w14:textId="77777777" w:rsidR="000F426F" w:rsidRPr="00C774C2" w:rsidRDefault="000F426F" w:rsidP="000F426F">
      <w:pPr>
        <w:pStyle w:val="Listenabsatz"/>
        <w:spacing w:after="0" w:line="240" w:lineRule="auto"/>
        <w:ind w:left="426"/>
        <w:rPr>
          <w:rFonts w:ascii="Arial Narrow" w:hAnsi="Arial Narrow"/>
          <w:sz w:val="24"/>
          <w:szCs w:val="24"/>
        </w:rPr>
      </w:pPr>
    </w:p>
    <w:p w14:paraId="33A31B47" w14:textId="77777777" w:rsidR="000F426F" w:rsidRPr="00C774C2" w:rsidRDefault="000F426F" w:rsidP="000F426F">
      <w:pPr>
        <w:pStyle w:val="Listenabsatz"/>
        <w:numPr>
          <w:ilvl w:val="0"/>
          <w:numId w:val="5"/>
        </w:numPr>
        <w:spacing w:after="0" w:line="240" w:lineRule="auto"/>
        <w:rPr>
          <w:rFonts w:ascii="Arial Narrow" w:hAnsi="Arial Narrow"/>
          <w:b/>
          <w:bCs/>
          <w:sz w:val="24"/>
          <w:szCs w:val="24"/>
        </w:rPr>
      </w:pPr>
      <w:r w:rsidRPr="00C774C2">
        <w:rPr>
          <w:rFonts w:ascii="Arial Narrow" w:hAnsi="Arial Narrow"/>
          <w:b/>
          <w:bCs/>
          <w:sz w:val="24"/>
          <w:szCs w:val="24"/>
        </w:rPr>
        <w:t>Bauplanungsrechtliche Festsetzungen</w:t>
      </w:r>
    </w:p>
    <w:p w14:paraId="135A53E7" w14:textId="77777777" w:rsidR="000F426F" w:rsidRPr="00C774C2" w:rsidRDefault="000F426F" w:rsidP="000F426F">
      <w:pPr>
        <w:spacing w:after="0" w:line="240" w:lineRule="auto"/>
        <w:ind w:left="426"/>
        <w:rPr>
          <w:rFonts w:ascii="Arial Narrow" w:hAnsi="Arial Narrow"/>
          <w:b/>
          <w:bCs/>
          <w:sz w:val="24"/>
          <w:szCs w:val="24"/>
        </w:rPr>
      </w:pPr>
      <w:r w:rsidRPr="00C774C2">
        <w:rPr>
          <w:rFonts w:ascii="Arial Narrow" w:hAnsi="Arial Narrow"/>
          <w:b/>
          <w:bCs/>
          <w:sz w:val="24"/>
          <w:szCs w:val="24"/>
        </w:rPr>
        <w:t>…</w:t>
      </w:r>
    </w:p>
    <w:p w14:paraId="0B5187FB" w14:textId="77777777" w:rsidR="000F426F" w:rsidRPr="00C774C2" w:rsidRDefault="000F426F" w:rsidP="000F426F">
      <w:pPr>
        <w:spacing w:after="0" w:line="240" w:lineRule="auto"/>
        <w:ind w:left="426"/>
        <w:rPr>
          <w:rFonts w:ascii="Arial Narrow" w:hAnsi="Arial Narrow"/>
          <w:b/>
          <w:bCs/>
          <w:sz w:val="24"/>
          <w:szCs w:val="24"/>
        </w:rPr>
      </w:pPr>
    </w:p>
    <w:p w14:paraId="51DA7176" w14:textId="77777777" w:rsidR="000F426F" w:rsidRPr="00C774C2" w:rsidRDefault="000F426F" w:rsidP="000F426F">
      <w:pPr>
        <w:spacing w:after="0" w:line="240" w:lineRule="auto"/>
        <w:ind w:left="851" w:hanging="425"/>
        <w:rPr>
          <w:rFonts w:ascii="Arial Narrow" w:hAnsi="Arial Narrow"/>
          <w:b/>
          <w:bCs/>
          <w:sz w:val="24"/>
          <w:szCs w:val="24"/>
        </w:rPr>
      </w:pPr>
      <w:r w:rsidRPr="00C774C2">
        <w:rPr>
          <w:rFonts w:ascii="Arial Narrow" w:hAnsi="Arial Narrow"/>
          <w:b/>
          <w:bCs/>
          <w:sz w:val="24"/>
          <w:szCs w:val="24"/>
        </w:rPr>
        <w:t>1.3</w:t>
      </w:r>
      <w:r w:rsidRPr="00C774C2">
        <w:rPr>
          <w:rFonts w:ascii="Arial Narrow" w:hAnsi="Arial Narrow"/>
          <w:b/>
          <w:bCs/>
          <w:sz w:val="24"/>
          <w:szCs w:val="24"/>
        </w:rPr>
        <w:tab/>
        <w:t xml:space="preserve">Überbaubare Grundstücksfläche (§ 23 </w:t>
      </w:r>
      <w:proofErr w:type="spellStart"/>
      <w:r w:rsidRPr="00C774C2">
        <w:rPr>
          <w:rFonts w:ascii="Arial Narrow" w:hAnsi="Arial Narrow"/>
          <w:b/>
          <w:bCs/>
          <w:sz w:val="24"/>
          <w:szCs w:val="24"/>
        </w:rPr>
        <w:t>BauNVO</w:t>
      </w:r>
      <w:proofErr w:type="spellEnd"/>
      <w:r w:rsidRPr="00C774C2">
        <w:rPr>
          <w:rFonts w:ascii="Arial Narrow" w:hAnsi="Arial Narrow"/>
          <w:b/>
          <w:bCs/>
          <w:sz w:val="24"/>
          <w:szCs w:val="24"/>
        </w:rPr>
        <w:t>)</w:t>
      </w:r>
    </w:p>
    <w:p w14:paraId="443FAE6F" w14:textId="77777777" w:rsidR="000F426F" w:rsidRPr="00C774C2" w:rsidRDefault="000F426F" w:rsidP="000F426F">
      <w:pPr>
        <w:spacing w:after="0" w:line="240" w:lineRule="auto"/>
        <w:ind w:left="851"/>
        <w:rPr>
          <w:rFonts w:ascii="Arial Narrow" w:hAnsi="Arial Narrow"/>
          <w:b/>
          <w:bCs/>
          <w:sz w:val="24"/>
          <w:szCs w:val="24"/>
        </w:rPr>
      </w:pPr>
      <w:r w:rsidRPr="00C774C2">
        <w:rPr>
          <w:rFonts w:ascii="Arial Narrow" w:hAnsi="Arial Narrow"/>
          <w:b/>
          <w:bCs/>
          <w:sz w:val="24"/>
          <w:szCs w:val="24"/>
        </w:rPr>
        <w:t>Die Lage von Baugrenzen ist im Zeichenteil vermerkt.</w:t>
      </w:r>
    </w:p>
    <w:p w14:paraId="5A13A7BF" w14:textId="77777777" w:rsidR="000F426F" w:rsidRPr="00C774C2" w:rsidRDefault="000F426F" w:rsidP="000F426F">
      <w:pPr>
        <w:spacing w:after="0" w:line="240" w:lineRule="auto"/>
        <w:ind w:left="851"/>
        <w:rPr>
          <w:rFonts w:ascii="Arial Narrow" w:hAnsi="Arial Narrow"/>
          <w:b/>
          <w:bCs/>
          <w:sz w:val="24"/>
          <w:szCs w:val="24"/>
        </w:rPr>
      </w:pPr>
      <w:r w:rsidRPr="00C774C2">
        <w:rPr>
          <w:rFonts w:ascii="Arial Narrow" w:hAnsi="Arial Narrow"/>
          <w:b/>
          <w:bCs/>
          <w:sz w:val="24"/>
          <w:szCs w:val="24"/>
        </w:rPr>
        <w:t>Diese darf mit dem Grundkörper der Wohngebäude nicht überschritten werden.</w:t>
      </w:r>
    </w:p>
    <w:p w14:paraId="3F1738E8" w14:textId="77777777" w:rsidR="000F426F" w:rsidRPr="00C774C2" w:rsidRDefault="000F426F" w:rsidP="000F426F">
      <w:pPr>
        <w:spacing w:after="0" w:line="240" w:lineRule="auto"/>
        <w:ind w:left="851"/>
        <w:rPr>
          <w:rFonts w:ascii="Arial Narrow" w:hAnsi="Arial Narrow"/>
          <w:b/>
          <w:bCs/>
          <w:sz w:val="24"/>
          <w:szCs w:val="24"/>
        </w:rPr>
      </w:pPr>
      <w:r w:rsidRPr="00C774C2">
        <w:rPr>
          <w:rFonts w:ascii="Arial Narrow" w:hAnsi="Arial Narrow"/>
          <w:b/>
          <w:bCs/>
          <w:sz w:val="24"/>
          <w:szCs w:val="24"/>
        </w:rPr>
        <w:t>Garagen, Stellplätze und Nebengebäude sind auch außerhalb der überbaubaren Grundstücksfläche zulässig. Von der straßenseitigen Grundstücksgrenze ist ein Mindestabstand von 3,0 m mit dieser Bebauung generell einzuhalten.</w:t>
      </w:r>
    </w:p>
    <w:p w14:paraId="78EEF30C" w14:textId="77777777" w:rsidR="000F426F" w:rsidRPr="00C774C2" w:rsidRDefault="000F426F" w:rsidP="000F426F">
      <w:pPr>
        <w:spacing w:after="0" w:line="240" w:lineRule="auto"/>
        <w:ind w:left="851" w:hanging="425"/>
        <w:rPr>
          <w:rFonts w:ascii="Arial Narrow" w:hAnsi="Arial Narrow"/>
          <w:b/>
          <w:bCs/>
          <w:sz w:val="24"/>
          <w:szCs w:val="24"/>
        </w:rPr>
      </w:pPr>
      <w:r w:rsidRPr="00C774C2">
        <w:rPr>
          <w:rFonts w:ascii="Arial Narrow" w:hAnsi="Arial Narrow"/>
          <w:b/>
          <w:bCs/>
          <w:sz w:val="24"/>
          <w:szCs w:val="24"/>
        </w:rPr>
        <w:t>…</w:t>
      </w:r>
    </w:p>
    <w:p w14:paraId="01EEFA3D" w14:textId="77777777" w:rsidR="000F426F" w:rsidRPr="00C774C2" w:rsidRDefault="000F426F" w:rsidP="000F426F">
      <w:pPr>
        <w:spacing w:after="0" w:line="240" w:lineRule="auto"/>
        <w:ind w:left="851" w:hanging="425"/>
        <w:rPr>
          <w:rFonts w:ascii="Arial Narrow" w:hAnsi="Arial Narrow"/>
          <w:b/>
          <w:bCs/>
          <w:sz w:val="24"/>
          <w:szCs w:val="24"/>
        </w:rPr>
      </w:pPr>
    </w:p>
    <w:p w14:paraId="4802B8C5" w14:textId="77777777" w:rsidR="000F426F" w:rsidRPr="00C774C2" w:rsidRDefault="000F426F" w:rsidP="000F426F">
      <w:pPr>
        <w:spacing w:after="0" w:line="240" w:lineRule="auto"/>
        <w:ind w:left="851" w:hanging="425"/>
        <w:rPr>
          <w:rFonts w:ascii="Arial Narrow" w:hAnsi="Arial Narrow"/>
          <w:b/>
          <w:bCs/>
          <w:sz w:val="24"/>
          <w:szCs w:val="24"/>
        </w:rPr>
      </w:pPr>
      <w:r w:rsidRPr="00C774C2">
        <w:rPr>
          <w:rFonts w:ascii="Arial Narrow" w:hAnsi="Arial Narrow"/>
          <w:b/>
          <w:bCs/>
          <w:sz w:val="24"/>
          <w:szCs w:val="24"/>
        </w:rPr>
        <w:t>1.7</w:t>
      </w:r>
      <w:r w:rsidRPr="00C774C2">
        <w:rPr>
          <w:rFonts w:ascii="Arial Narrow" w:hAnsi="Arial Narrow"/>
          <w:b/>
          <w:bCs/>
          <w:sz w:val="24"/>
          <w:szCs w:val="24"/>
        </w:rPr>
        <w:tab/>
        <w:t xml:space="preserve">Stellplätze, Garagen und Nebenanlagen (§ 9 Abs. 1 Nr. 4 BauGB) </w:t>
      </w:r>
    </w:p>
    <w:p w14:paraId="2B7749C4" w14:textId="77777777" w:rsidR="000F426F" w:rsidRPr="00C774C2" w:rsidRDefault="000F426F" w:rsidP="000F426F">
      <w:pPr>
        <w:spacing w:after="0" w:line="240" w:lineRule="auto"/>
        <w:ind w:left="851"/>
        <w:rPr>
          <w:rFonts w:ascii="Arial Narrow" w:hAnsi="Arial Narrow"/>
          <w:b/>
          <w:bCs/>
          <w:sz w:val="24"/>
          <w:szCs w:val="24"/>
        </w:rPr>
      </w:pPr>
      <w:r w:rsidRPr="00C774C2">
        <w:rPr>
          <w:rFonts w:ascii="Arial Narrow" w:hAnsi="Arial Narrow"/>
          <w:b/>
          <w:bCs/>
          <w:sz w:val="24"/>
          <w:szCs w:val="24"/>
        </w:rPr>
        <w:t>Zur Lage und Anordnung wird auf die Punkte 1.3 bis 1.6 verwiesen.</w:t>
      </w:r>
    </w:p>
    <w:p w14:paraId="1A55B9C6" w14:textId="77777777" w:rsidR="000F426F" w:rsidRPr="00C774C2" w:rsidRDefault="000F426F" w:rsidP="000F426F">
      <w:pPr>
        <w:spacing w:after="0" w:line="240" w:lineRule="auto"/>
        <w:ind w:left="851"/>
        <w:rPr>
          <w:rFonts w:ascii="Arial Narrow" w:hAnsi="Arial Narrow"/>
          <w:b/>
          <w:bCs/>
          <w:sz w:val="24"/>
          <w:szCs w:val="24"/>
        </w:rPr>
      </w:pPr>
      <w:r w:rsidRPr="00C774C2">
        <w:rPr>
          <w:rFonts w:ascii="Arial Narrow" w:hAnsi="Arial Narrow"/>
          <w:b/>
          <w:bCs/>
          <w:sz w:val="24"/>
          <w:szCs w:val="24"/>
        </w:rPr>
        <w:t>Die notwendigen Stellplätze pro Einzelgrundstück sind generell auf dem Grundstück zu errichten. Hier sind mindestens zwei Stellplätze pro Einzelgrundstück nachzuweisen.</w:t>
      </w:r>
    </w:p>
    <w:p w14:paraId="65C4A50A" w14:textId="77777777" w:rsidR="000F426F" w:rsidRPr="00C774C2" w:rsidRDefault="000F426F" w:rsidP="000F426F">
      <w:pPr>
        <w:spacing w:after="0" w:line="240" w:lineRule="auto"/>
        <w:ind w:left="426"/>
        <w:rPr>
          <w:rFonts w:ascii="Arial Narrow" w:hAnsi="Arial Narrow"/>
          <w:b/>
          <w:bCs/>
          <w:sz w:val="24"/>
          <w:szCs w:val="24"/>
        </w:rPr>
      </w:pPr>
    </w:p>
    <w:p w14:paraId="43FC4EBE" w14:textId="77777777" w:rsidR="000F426F" w:rsidRPr="00C774C2" w:rsidRDefault="000F426F" w:rsidP="000F426F">
      <w:pPr>
        <w:pStyle w:val="Listenabsatz"/>
        <w:numPr>
          <w:ilvl w:val="0"/>
          <w:numId w:val="4"/>
        </w:numPr>
        <w:spacing w:after="0" w:line="240" w:lineRule="auto"/>
        <w:ind w:left="426"/>
        <w:rPr>
          <w:rFonts w:ascii="Arial Narrow" w:hAnsi="Arial Narrow"/>
          <w:sz w:val="24"/>
          <w:szCs w:val="24"/>
        </w:rPr>
      </w:pPr>
      <w:r w:rsidRPr="00C774C2">
        <w:rPr>
          <w:rFonts w:ascii="Arial Narrow" w:hAnsi="Arial Narrow"/>
          <w:sz w:val="24"/>
          <w:szCs w:val="24"/>
        </w:rPr>
        <w:t>Der betroffenen Öffentlichkeit und den berührten Behörden und sonstigen Trägern öffentlicher Belange wird gemäß § 13 Abs. 2 BauGB Gelegenheit zur Stellungnahme innerhalb angemessener Frist gegeben. Von der Umweltprüfung wird gemäß § 13 Abs. 3 Satz 1 BauGB abgesehen.</w:t>
      </w:r>
    </w:p>
    <w:p w14:paraId="7609F386" w14:textId="77777777" w:rsidR="00003DC6" w:rsidRPr="00C774C2" w:rsidRDefault="00003DC6" w:rsidP="00003DC6">
      <w:pPr>
        <w:tabs>
          <w:tab w:val="left" w:pos="851"/>
        </w:tabs>
        <w:spacing w:after="0" w:line="288" w:lineRule="auto"/>
        <w:ind w:left="851" w:right="-284" w:firstLine="1"/>
        <w:rPr>
          <w:rFonts w:ascii="Arial Narrow" w:hAnsi="Arial Narrow"/>
        </w:rPr>
      </w:pPr>
    </w:p>
    <w:p w14:paraId="76D05942" w14:textId="77777777" w:rsidR="00003DC6" w:rsidRPr="00C774C2" w:rsidRDefault="00003DC6" w:rsidP="00003DC6">
      <w:pPr>
        <w:tabs>
          <w:tab w:val="left" w:pos="851"/>
        </w:tabs>
        <w:spacing w:after="0" w:line="288" w:lineRule="auto"/>
        <w:ind w:left="851" w:right="-284" w:firstLine="1"/>
        <w:rPr>
          <w:rFonts w:ascii="Arial Narrow" w:hAnsi="Arial Narrow"/>
        </w:rPr>
      </w:pPr>
    </w:p>
    <w:p w14:paraId="31FD234D" w14:textId="0F8EFE4F" w:rsidR="00003DC6" w:rsidRPr="00C774C2" w:rsidRDefault="00003DC6" w:rsidP="00003DC6">
      <w:pPr>
        <w:suppressAutoHyphens/>
        <w:spacing w:line="100" w:lineRule="atLeast"/>
        <w:contextualSpacing/>
        <w:jc w:val="both"/>
        <w:rPr>
          <w:rFonts w:ascii="Arial Narrow" w:eastAsia="Calibri" w:hAnsi="Arial Narrow" w:cs="Times New Roman"/>
          <w:i/>
          <w:u w:val="single"/>
          <w:lang w:eastAsia="ar-SA"/>
        </w:rPr>
      </w:pPr>
      <w:r w:rsidRPr="00C774C2">
        <w:rPr>
          <w:rFonts w:ascii="Arial Narrow" w:eastAsia="Calibri" w:hAnsi="Arial Narrow" w:cs="Times New Roman"/>
          <w:i/>
          <w:u w:val="single"/>
          <w:lang w:eastAsia="ar-SA"/>
        </w:rPr>
        <w:t>Erläuterungen zu den Beschlüssen 06 + 07 / 0</w:t>
      </w:r>
      <w:r w:rsidR="000F426F" w:rsidRPr="00C774C2">
        <w:rPr>
          <w:rFonts w:ascii="Arial Narrow" w:eastAsia="Calibri" w:hAnsi="Arial Narrow" w:cs="Times New Roman"/>
          <w:i/>
          <w:u w:val="single"/>
          <w:lang w:eastAsia="ar-SA"/>
        </w:rPr>
        <w:t>4</w:t>
      </w:r>
      <w:r w:rsidRPr="00C774C2">
        <w:rPr>
          <w:rFonts w:ascii="Arial Narrow" w:eastAsia="Calibri" w:hAnsi="Arial Narrow" w:cs="Times New Roman"/>
          <w:i/>
          <w:u w:val="single"/>
          <w:lang w:eastAsia="ar-SA"/>
        </w:rPr>
        <w:t xml:space="preserve"> / 2025:</w:t>
      </w:r>
    </w:p>
    <w:p w14:paraId="1CCBEC56" w14:textId="340E913F" w:rsidR="002A50E6" w:rsidRPr="00C774C2" w:rsidRDefault="00F65383" w:rsidP="009C3949">
      <w:pPr>
        <w:contextualSpacing/>
        <w:jc w:val="both"/>
        <w:rPr>
          <w:rFonts w:ascii="Arial Narrow" w:hAnsi="Arial Narrow"/>
          <w:i/>
          <w:iCs/>
        </w:rPr>
      </w:pPr>
      <w:r w:rsidRPr="00C774C2">
        <w:rPr>
          <w:rFonts w:ascii="Arial Narrow" w:hAnsi="Arial Narrow"/>
          <w:i/>
          <w:iCs/>
        </w:rPr>
        <w:t xml:space="preserve">Der Bebauungsplan „Kotten-Ost“ stammt aus dem Jahre 1999. Er wurde aufgestellt, um am Ortsausgang Kotten in Richtung </w:t>
      </w:r>
      <w:proofErr w:type="spellStart"/>
      <w:r w:rsidRPr="00C774C2">
        <w:rPr>
          <w:rFonts w:ascii="Arial Narrow" w:hAnsi="Arial Narrow"/>
          <w:i/>
          <w:iCs/>
        </w:rPr>
        <w:t>Hoske</w:t>
      </w:r>
      <w:proofErr w:type="spellEnd"/>
      <w:r w:rsidR="00A976F1" w:rsidRPr="00C774C2">
        <w:rPr>
          <w:rFonts w:ascii="Arial Narrow" w:hAnsi="Arial Narrow"/>
          <w:i/>
          <w:iCs/>
        </w:rPr>
        <w:t xml:space="preserve"> Bauland für 5 Eigenheime zu schaffen. </w:t>
      </w:r>
      <w:r w:rsidR="002A50E6" w:rsidRPr="00C774C2">
        <w:rPr>
          <w:rFonts w:ascii="Arial Narrow" w:hAnsi="Arial Narrow"/>
          <w:i/>
          <w:iCs/>
        </w:rPr>
        <w:t xml:space="preserve">Der </w:t>
      </w:r>
      <w:r w:rsidR="00A976F1" w:rsidRPr="00C774C2">
        <w:rPr>
          <w:rFonts w:ascii="Arial Narrow" w:hAnsi="Arial Narrow"/>
          <w:i/>
          <w:iCs/>
        </w:rPr>
        <w:t xml:space="preserve">Plan </w:t>
      </w:r>
      <w:r w:rsidR="002A50E6" w:rsidRPr="00C774C2">
        <w:rPr>
          <w:rFonts w:ascii="Arial Narrow" w:hAnsi="Arial Narrow"/>
          <w:i/>
          <w:iCs/>
        </w:rPr>
        <w:t xml:space="preserve">wurde bereits 1999 in der 1. und im Jahr 2000 in der 2. Änderung </w:t>
      </w:r>
      <w:r w:rsidR="00A976F1" w:rsidRPr="00C774C2">
        <w:rPr>
          <w:rFonts w:ascii="Arial Narrow" w:hAnsi="Arial Narrow"/>
          <w:i/>
          <w:iCs/>
        </w:rPr>
        <w:t>berechtigten</w:t>
      </w:r>
      <w:r w:rsidR="002A50E6" w:rsidRPr="00C774C2">
        <w:rPr>
          <w:rFonts w:ascii="Arial Narrow" w:hAnsi="Arial Narrow"/>
          <w:i/>
          <w:iCs/>
        </w:rPr>
        <w:t xml:space="preserve"> Wünschen der Bauherren angepasst.</w:t>
      </w:r>
    </w:p>
    <w:p w14:paraId="3F957A40" w14:textId="22BA1344" w:rsidR="002A50E6" w:rsidRPr="00C774C2" w:rsidRDefault="002A50E6" w:rsidP="009C3949">
      <w:pPr>
        <w:contextualSpacing/>
        <w:jc w:val="both"/>
        <w:rPr>
          <w:rFonts w:ascii="Arial Narrow" w:hAnsi="Arial Narrow"/>
          <w:i/>
          <w:iCs/>
        </w:rPr>
      </w:pPr>
      <w:r w:rsidRPr="00C774C2">
        <w:rPr>
          <w:rFonts w:ascii="Arial Narrow" w:hAnsi="Arial Narrow"/>
          <w:i/>
          <w:iCs/>
        </w:rPr>
        <w:t>Die 2. Änderung begründet</w:t>
      </w:r>
      <w:r w:rsidR="00A976F1" w:rsidRPr="00C774C2">
        <w:rPr>
          <w:rFonts w:ascii="Arial Narrow" w:hAnsi="Arial Narrow"/>
          <w:i/>
          <w:iCs/>
        </w:rPr>
        <w:t>e</w:t>
      </w:r>
      <w:r w:rsidRPr="00C774C2">
        <w:rPr>
          <w:rFonts w:ascii="Arial Narrow" w:hAnsi="Arial Narrow"/>
          <w:i/>
          <w:iCs/>
        </w:rPr>
        <w:t xml:space="preserve"> sich aus den </w:t>
      </w:r>
      <w:r w:rsidR="00A976F1" w:rsidRPr="00C774C2">
        <w:rPr>
          <w:rFonts w:ascii="Arial Narrow" w:hAnsi="Arial Narrow"/>
          <w:i/>
          <w:iCs/>
        </w:rPr>
        <w:t xml:space="preserve">ursprünglich sehr </w:t>
      </w:r>
      <w:r w:rsidRPr="00C774C2">
        <w:rPr>
          <w:rFonts w:ascii="Arial Narrow" w:hAnsi="Arial Narrow"/>
          <w:i/>
          <w:iCs/>
        </w:rPr>
        <w:t xml:space="preserve">streng gefassten </w:t>
      </w:r>
      <w:r w:rsidR="00A976F1" w:rsidRPr="00C774C2">
        <w:rPr>
          <w:rFonts w:ascii="Arial Narrow" w:hAnsi="Arial Narrow"/>
          <w:i/>
          <w:iCs/>
        </w:rPr>
        <w:t>b</w:t>
      </w:r>
      <w:r w:rsidRPr="00C774C2">
        <w:rPr>
          <w:rFonts w:ascii="Arial Narrow" w:hAnsi="Arial Narrow"/>
          <w:i/>
          <w:iCs/>
        </w:rPr>
        <w:t xml:space="preserve">auplanungsrechtlichen Festsetzungen des Bebauungsplanes. Außerhalb der durch Baugrenzen im Plan ausgewiesenen Baufelder dürfen </w:t>
      </w:r>
      <w:r w:rsidRPr="00C774C2">
        <w:rPr>
          <w:rFonts w:ascii="Arial Narrow" w:hAnsi="Arial Narrow"/>
          <w:i/>
          <w:iCs/>
        </w:rPr>
        <w:lastRenderedPageBreak/>
        <w:t>Nebengebäude und Garagen sowie Stellplätze errichtet werden. Allerdings ist hier ein Mindestabstand von der straßenseitigen Grundstücksgrenze von 5,0 m vorgeschrieben.</w:t>
      </w:r>
    </w:p>
    <w:p w14:paraId="260A6DF7" w14:textId="1D134976" w:rsidR="002A50E6" w:rsidRPr="00C774C2" w:rsidRDefault="002A50E6" w:rsidP="009C3949">
      <w:pPr>
        <w:contextualSpacing/>
        <w:jc w:val="both"/>
        <w:rPr>
          <w:rFonts w:ascii="Arial Narrow" w:hAnsi="Arial Narrow"/>
          <w:i/>
          <w:iCs/>
        </w:rPr>
      </w:pPr>
      <w:r w:rsidRPr="00C774C2">
        <w:rPr>
          <w:rFonts w:ascii="Arial Narrow" w:hAnsi="Arial Narrow"/>
          <w:i/>
          <w:iCs/>
        </w:rPr>
        <w:t>Die Stadt Wittichenau möchte nun den Grundstückseigentümern ermöglichen, im Rahmen der gesetzlichen Vorschriften Nebenanlagen, Garagen und Stellplätzen näher an die Grundstücksgrenze zu bauen. Hierfür wird der gesetzliche Rahmen aus der Sächsischen Garagen- und Stellplatzverordnung (</w:t>
      </w:r>
      <w:proofErr w:type="spellStart"/>
      <w:r w:rsidRPr="00C774C2">
        <w:rPr>
          <w:rFonts w:ascii="Arial Narrow" w:hAnsi="Arial Narrow"/>
          <w:i/>
          <w:iCs/>
        </w:rPr>
        <w:t>SächsGarStellplVO</w:t>
      </w:r>
      <w:proofErr w:type="spellEnd"/>
      <w:r w:rsidRPr="00C774C2">
        <w:rPr>
          <w:rFonts w:ascii="Arial Narrow" w:hAnsi="Arial Narrow"/>
          <w:i/>
          <w:iCs/>
        </w:rPr>
        <w:t xml:space="preserve">) und der </w:t>
      </w:r>
    </w:p>
    <w:p w14:paraId="0200D075" w14:textId="77777777" w:rsidR="00EE426E" w:rsidRPr="00C774C2" w:rsidRDefault="00EE426E" w:rsidP="009C3949">
      <w:pPr>
        <w:contextualSpacing/>
        <w:jc w:val="both"/>
        <w:rPr>
          <w:rFonts w:ascii="Arial Narrow" w:hAnsi="Arial Narrow"/>
          <w:i/>
          <w:iCs/>
        </w:rPr>
      </w:pPr>
      <w:r w:rsidRPr="00C774C2">
        <w:rPr>
          <w:rFonts w:ascii="Arial Narrow" w:hAnsi="Arial Narrow"/>
          <w:i/>
          <w:iCs/>
        </w:rPr>
        <w:t>Sächsischen Bauordnung (</w:t>
      </w:r>
      <w:proofErr w:type="spellStart"/>
      <w:r w:rsidRPr="00C774C2">
        <w:rPr>
          <w:rFonts w:ascii="Arial Narrow" w:hAnsi="Arial Narrow"/>
          <w:i/>
          <w:iCs/>
        </w:rPr>
        <w:t>SächsBO</w:t>
      </w:r>
      <w:proofErr w:type="spellEnd"/>
      <w:r w:rsidRPr="00C774C2">
        <w:rPr>
          <w:rFonts w:ascii="Arial Narrow" w:hAnsi="Arial Narrow"/>
          <w:i/>
          <w:iCs/>
        </w:rPr>
        <w:t>) zugrunde gelegt. Aus diesen ergibt sich ein Abstand von 3,0 m zu öffentlichen Verkehrsräumen bzw. zur Grundstücksgrenze, der nun allgemein für diese Nebenanlagen gelten soll.</w:t>
      </w:r>
    </w:p>
    <w:p w14:paraId="7449D019" w14:textId="77777777" w:rsidR="00EE426E" w:rsidRPr="00C774C2" w:rsidRDefault="00EE426E" w:rsidP="00EE426E">
      <w:pPr>
        <w:contextualSpacing/>
        <w:rPr>
          <w:rFonts w:ascii="Arial Narrow" w:hAnsi="Arial Narrow"/>
        </w:rPr>
      </w:pPr>
    </w:p>
    <w:p w14:paraId="4EC146BF" w14:textId="77777777" w:rsidR="00EE426E" w:rsidRPr="00C774C2" w:rsidRDefault="00EE426E" w:rsidP="00EE426E">
      <w:pPr>
        <w:suppressAutoHyphens/>
        <w:spacing w:after="0" w:line="100" w:lineRule="atLeast"/>
        <w:rPr>
          <w:rFonts w:ascii="Arial Narrow" w:eastAsia="Calibri" w:hAnsi="Arial Narrow" w:cs="Times New Roman"/>
          <w:kern w:val="0"/>
          <w:sz w:val="24"/>
          <w:szCs w:val="24"/>
          <w:lang w:eastAsia="ar-SA"/>
          <w14:ligatures w14:val="none"/>
        </w:rPr>
      </w:pPr>
    </w:p>
    <w:p w14:paraId="67C3DAEF" w14:textId="77777777" w:rsidR="00EE426E" w:rsidRPr="00DD5D62" w:rsidRDefault="00EE426E" w:rsidP="00EE426E">
      <w:pPr>
        <w:suppressAutoHyphens/>
        <w:spacing w:after="0" w:line="100" w:lineRule="atLeast"/>
        <w:rPr>
          <w:rFonts w:ascii="Arial Narrow" w:eastAsia="Calibri" w:hAnsi="Arial Narrow" w:cs="Times New Roman"/>
          <w:kern w:val="0"/>
          <w:sz w:val="24"/>
          <w:szCs w:val="24"/>
          <w:lang w:eastAsia="ar-SA"/>
          <w14:ligatures w14:val="none"/>
        </w:rPr>
      </w:pPr>
      <w:r w:rsidRPr="00C774C2">
        <w:rPr>
          <w:rFonts w:ascii="Arial Narrow" w:eastAsia="Calibri" w:hAnsi="Arial Narrow" w:cs="Times New Roman"/>
          <w:kern w:val="0"/>
          <w:sz w:val="24"/>
          <w:szCs w:val="24"/>
          <w:lang w:eastAsia="ar-SA"/>
          <w14:ligatures w14:val="none"/>
        </w:rPr>
        <w:t>Wittichenau, 18.08.2025</w:t>
      </w:r>
    </w:p>
    <w:p w14:paraId="79295719" w14:textId="77777777" w:rsidR="002A50E6" w:rsidRDefault="002A50E6" w:rsidP="002A50E6">
      <w:pPr>
        <w:contextualSpacing/>
        <w:rPr>
          <w:rFonts w:ascii="Arial Narrow" w:hAnsi="Arial Narrow"/>
        </w:rPr>
      </w:pPr>
    </w:p>
    <w:p w14:paraId="5131F0A9" w14:textId="77777777" w:rsidR="00003DC6"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p>
    <w:p w14:paraId="544932F7" w14:textId="77777777" w:rsidR="00003DC6" w:rsidRPr="00DD5D62"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p>
    <w:p w14:paraId="05E189B2" w14:textId="77777777" w:rsidR="00003DC6" w:rsidRPr="00DD5D62" w:rsidRDefault="00003DC6" w:rsidP="00003DC6">
      <w:pPr>
        <w:suppressAutoHyphens/>
        <w:spacing w:after="0" w:line="100" w:lineRule="atLeast"/>
        <w:rPr>
          <w:rFonts w:ascii="Arial Narrow" w:eastAsia="Calibri" w:hAnsi="Arial Narrow" w:cs="Times New Roman"/>
          <w:kern w:val="0"/>
          <w:sz w:val="24"/>
          <w:szCs w:val="24"/>
          <w:lang w:eastAsia="ar-SA"/>
          <w14:ligatures w14:val="none"/>
        </w:rPr>
      </w:pPr>
      <w:r w:rsidRPr="00DD5D62">
        <w:rPr>
          <w:rFonts w:ascii="Arial Narrow" w:eastAsia="Calibri" w:hAnsi="Arial Narrow" w:cs="Times New Roman"/>
          <w:kern w:val="0"/>
          <w:sz w:val="24"/>
          <w:szCs w:val="24"/>
          <w:lang w:eastAsia="ar-SA"/>
          <w14:ligatures w14:val="none"/>
        </w:rPr>
        <w:t>Markus Posch</w:t>
      </w:r>
    </w:p>
    <w:p w14:paraId="386C206C" w14:textId="77777777" w:rsidR="00003DC6" w:rsidRDefault="00003DC6" w:rsidP="00003DC6">
      <w:pPr>
        <w:suppressAutoHyphens/>
        <w:spacing w:after="0" w:line="100" w:lineRule="atLeast"/>
      </w:pPr>
      <w:r w:rsidRPr="00DD5D62">
        <w:rPr>
          <w:rFonts w:ascii="Arial Narrow" w:eastAsia="Calibri" w:hAnsi="Arial Narrow" w:cs="Times New Roman"/>
          <w:kern w:val="0"/>
          <w:sz w:val="24"/>
          <w:szCs w:val="24"/>
          <w:lang w:eastAsia="ar-SA"/>
          <w14:ligatures w14:val="none"/>
        </w:rPr>
        <w:t>Bürgermeister</w:t>
      </w:r>
      <w:bookmarkEnd w:id="0"/>
      <w:bookmarkEnd w:id="1"/>
    </w:p>
    <w:p w14:paraId="174F3EC0" w14:textId="77777777" w:rsidR="008770AB" w:rsidRDefault="008770AB"/>
    <w:sectPr w:rsidR="008770AB" w:rsidSect="00003DC6">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C87"/>
    <w:multiLevelType w:val="hybridMultilevel"/>
    <w:tmpl w:val="9E68A9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A7229"/>
    <w:multiLevelType w:val="hybridMultilevel"/>
    <w:tmpl w:val="6AC0BE32"/>
    <w:lvl w:ilvl="0" w:tplc="08A853C6">
      <w:start w:val="1"/>
      <w:numFmt w:val="decimal"/>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5943F52"/>
    <w:multiLevelType w:val="hybridMultilevel"/>
    <w:tmpl w:val="08146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085A4A"/>
    <w:multiLevelType w:val="hybridMultilevel"/>
    <w:tmpl w:val="A6A48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315B35"/>
    <w:multiLevelType w:val="hybridMultilevel"/>
    <w:tmpl w:val="DB52552E"/>
    <w:lvl w:ilvl="0" w:tplc="5636EEB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72229A4"/>
    <w:multiLevelType w:val="hybridMultilevel"/>
    <w:tmpl w:val="920EC894"/>
    <w:lvl w:ilvl="0" w:tplc="C7A2361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5204">
    <w:abstractNumId w:val="3"/>
  </w:num>
  <w:num w:numId="2" w16cid:durableId="1938442880">
    <w:abstractNumId w:val="4"/>
  </w:num>
  <w:num w:numId="3" w16cid:durableId="328749044">
    <w:abstractNumId w:val="2"/>
  </w:num>
  <w:num w:numId="4" w16cid:durableId="777335532">
    <w:abstractNumId w:val="0"/>
  </w:num>
  <w:num w:numId="5" w16cid:durableId="1244222055">
    <w:abstractNumId w:val="1"/>
  </w:num>
  <w:num w:numId="6" w16cid:durableId="334917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C6"/>
    <w:rsid w:val="00003DC6"/>
    <w:rsid w:val="000B1E48"/>
    <w:rsid w:val="000F426F"/>
    <w:rsid w:val="0012378B"/>
    <w:rsid w:val="00191F66"/>
    <w:rsid w:val="0024154C"/>
    <w:rsid w:val="002A50E6"/>
    <w:rsid w:val="00310252"/>
    <w:rsid w:val="004F28D7"/>
    <w:rsid w:val="0054216E"/>
    <w:rsid w:val="005E4838"/>
    <w:rsid w:val="0066406B"/>
    <w:rsid w:val="007661DC"/>
    <w:rsid w:val="008770AB"/>
    <w:rsid w:val="00915D56"/>
    <w:rsid w:val="009C3949"/>
    <w:rsid w:val="00A976F1"/>
    <w:rsid w:val="00AB4080"/>
    <w:rsid w:val="00B539DD"/>
    <w:rsid w:val="00C774C2"/>
    <w:rsid w:val="00C87D00"/>
    <w:rsid w:val="00CC3045"/>
    <w:rsid w:val="00E11B9F"/>
    <w:rsid w:val="00E66D7A"/>
    <w:rsid w:val="00EE426E"/>
    <w:rsid w:val="00F279E7"/>
    <w:rsid w:val="00F65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65B4"/>
  <w15:chartTrackingRefBased/>
  <w15:docId w15:val="{5F259251-9CD6-44AF-8DE1-7B39A1B5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DC6"/>
  </w:style>
  <w:style w:type="paragraph" w:styleId="berschrift1">
    <w:name w:val="heading 1"/>
    <w:basedOn w:val="Standard"/>
    <w:next w:val="Standard"/>
    <w:link w:val="berschrift1Zchn"/>
    <w:uiPriority w:val="9"/>
    <w:qFormat/>
    <w:rsid w:val="00003D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003D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03DC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003DC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03DC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003D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D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D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D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DC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003DC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03DC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003DC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03DC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003D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D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D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DC6"/>
    <w:rPr>
      <w:rFonts w:eastAsiaTheme="majorEastAsia" w:cstheme="majorBidi"/>
      <w:color w:val="272727" w:themeColor="text1" w:themeTint="D8"/>
    </w:rPr>
  </w:style>
  <w:style w:type="paragraph" w:styleId="Titel">
    <w:name w:val="Title"/>
    <w:basedOn w:val="Standard"/>
    <w:next w:val="Standard"/>
    <w:link w:val="TitelZchn"/>
    <w:uiPriority w:val="10"/>
    <w:qFormat/>
    <w:rsid w:val="0000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D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D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D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D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DC6"/>
    <w:rPr>
      <w:i/>
      <w:iCs/>
      <w:color w:val="404040" w:themeColor="text1" w:themeTint="BF"/>
    </w:rPr>
  </w:style>
  <w:style w:type="paragraph" w:styleId="Listenabsatz">
    <w:name w:val="List Paragraph"/>
    <w:basedOn w:val="Standard"/>
    <w:uiPriority w:val="34"/>
    <w:qFormat/>
    <w:rsid w:val="00003DC6"/>
    <w:pPr>
      <w:ind w:left="720"/>
      <w:contextualSpacing/>
    </w:pPr>
  </w:style>
  <w:style w:type="character" w:styleId="IntensiveHervorhebung">
    <w:name w:val="Intense Emphasis"/>
    <w:basedOn w:val="Absatz-Standardschriftart"/>
    <w:uiPriority w:val="21"/>
    <w:qFormat/>
    <w:rsid w:val="00003DC6"/>
    <w:rPr>
      <w:i/>
      <w:iCs/>
      <w:color w:val="2E74B5" w:themeColor="accent1" w:themeShade="BF"/>
    </w:rPr>
  </w:style>
  <w:style w:type="paragraph" w:styleId="IntensivesZitat">
    <w:name w:val="Intense Quote"/>
    <w:basedOn w:val="Standard"/>
    <w:next w:val="Standard"/>
    <w:link w:val="IntensivesZitatZchn"/>
    <w:uiPriority w:val="30"/>
    <w:qFormat/>
    <w:rsid w:val="00003D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003DC6"/>
    <w:rPr>
      <w:i/>
      <w:iCs/>
      <w:color w:val="2E74B5" w:themeColor="accent1" w:themeShade="BF"/>
    </w:rPr>
  </w:style>
  <w:style w:type="character" w:styleId="IntensiverVerweis">
    <w:name w:val="Intense Reference"/>
    <w:basedOn w:val="Absatz-Standardschriftart"/>
    <w:uiPriority w:val="32"/>
    <w:qFormat/>
    <w:rsid w:val="00003DC6"/>
    <w:rPr>
      <w:b/>
      <w:bCs/>
      <w:smallCaps/>
      <w:color w:val="2E74B5" w:themeColor="accent1" w:themeShade="BF"/>
      <w:spacing w:val="5"/>
    </w:rPr>
  </w:style>
  <w:style w:type="paragraph" w:styleId="KeinLeerraum">
    <w:name w:val="No Spacing"/>
    <w:uiPriority w:val="1"/>
    <w:qFormat/>
    <w:rsid w:val="000F426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11010</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Kuenze</dc:creator>
  <cp:keywords/>
  <dc:description/>
  <cp:lastModifiedBy>Simone Kuenze</cp:lastModifiedBy>
  <cp:revision>2</cp:revision>
  <cp:lastPrinted>2025-08-18T05:28:00Z</cp:lastPrinted>
  <dcterms:created xsi:type="dcterms:W3CDTF">2025-08-18T05:29:00Z</dcterms:created>
  <dcterms:modified xsi:type="dcterms:W3CDTF">2025-08-18T05:29:00Z</dcterms:modified>
</cp:coreProperties>
</file>